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7CC" w:rsidRDefault="001E67CC">
      <w:pPr>
        <w:jc w:val="center"/>
        <w:rPr>
          <w:rFonts w:ascii="楷体_GB2312" w:eastAsia="楷体_GB2312" w:hAnsi="宋体"/>
          <w:sz w:val="32"/>
          <w:szCs w:val="32"/>
        </w:rPr>
      </w:pPr>
    </w:p>
    <w:p w:rsidR="001E67CC" w:rsidRDefault="001E67CC">
      <w:pPr>
        <w:jc w:val="center"/>
        <w:rPr>
          <w:rFonts w:ascii="楷体_GB2312" w:eastAsia="楷体_GB2312" w:hAnsi="宋体"/>
          <w:sz w:val="32"/>
          <w:szCs w:val="32"/>
        </w:rPr>
      </w:pPr>
    </w:p>
    <w:p w:rsidR="001E67CC" w:rsidRDefault="001E67CC">
      <w:pPr>
        <w:jc w:val="center"/>
        <w:rPr>
          <w:rFonts w:ascii="楷体_GB2312" w:eastAsia="楷体_GB2312" w:hAnsi="宋体"/>
          <w:sz w:val="32"/>
          <w:szCs w:val="32"/>
        </w:rPr>
      </w:pPr>
    </w:p>
    <w:p w:rsidR="001E67CC" w:rsidRDefault="001E67CC">
      <w:pPr>
        <w:jc w:val="center"/>
        <w:rPr>
          <w:rFonts w:ascii="楷体_GB2312" w:eastAsia="楷体_GB2312" w:hAnsi="宋体"/>
          <w:sz w:val="32"/>
          <w:szCs w:val="32"/>
        </w:rPr>
      </w:pPr>
    </w:p>
    <w:p w:rsidR="001E67CC" w:rsidRDefault="001E67CC">
      <w:pPr>
        <w:jc w:val="center"/>
        <w:rPr>
          <w:rFonts w:ascii="楷体_GB2312" w:eastAsia="楷体_GB2312" w:hAnsi="宋体"/>
          <w:sz w:val="32"/>
          <w:szCs w:val="32"/>
        </w:rPr>
      </w:pPr>
    </w:p>
    <w:p w:rsidR="001E67CC" w:rsidRDefault="001E67CC">
      <w:pPr>
        <w:spacing w:line="520" w:lineRule="exact"/>
        <w:jc w:val="center"/>
        <w:rPr>
          <w:rFonts w:ascii="楷体_GB2312" w:eastAsia="楷体_GB2312" w:hAnsi="宋体"/>
          <w:sz w:val="32"/>
          <w:szCs w:val="32"/>
        </w:rPr>
      </w:pPr>
    </w:p>
    <w:p w:rsidR="001E67CC" w:rsidRDefault="001E67CC">
      <w:pPr>
        <w:spacing w:line="520" w:lineRule="exact"/>
        <w:jc w:val="center"/>
        <w:rPr>
          <w:rFonts w:ascii="楷体_GB2312" w:eastAsia="楷体_GB2312" w:hAnsi="宋体"/>
          <w:sz w:val="32"/>
          <w:szCs w:val="32"/>
        </w:rPr>
      </w:pPr>
    </w:p>
    <w:p w:rsidR="001E67CC" w:rsidRPr="00746816" w:rsidRDefault="009917F4">
      <w:pPr>
        <w:jc w:val="center"/>
        <w:rPr>
          <w:rFonts w:ascii="Times New Roman" w:eastAsia="方正楷体_GBK" w:hAnsi="Times New Roman" w:cs="Times New Roman"/>
          <w:sz w:val="32"/>
          <w:szCs w:val="32"/>
        </w:rPr>
      </w:pPr>
      <w:r w:rsidRPr="00746816">
        <w:rPr>
          <w:rFonts w:ascii="Times New Roman" w:eastAsia="方正楷体_GBK" w:hAnsi="Times New Roman" w:cs="Times New Roman"/>
          <w:sz w:val="32"/>
          <w:szCs w:val="32"/>
        </w:rPr>
        <w:t>连建招办〔</w:t>
      </w:r>
      <w:r w:rsidRPr="00746816">
        <w:rPr>
          <w:rFonts w:ascii="Times New Roman" w:eastAsia="方正楷体_GBK" w:hAnsi="Times New Roman" w:cs="Times New Roman"/>
          <w:sz w:val="32"/>
          <w:szCs w:val="32"/>
        </w:rPr>
        <w:t>2023</w:t>
      </w:r>
      <w:r w:rsidRPr="00746816">
        <w:rPr>
          <w:rFonts w:ascii="Times New Roman" w:eastAsia="方正楷体_GBK" w:hAnsi="Times New Roman" w:cs="Times New Roman"/>
          <w:sz w:val="32"/>
          <w:szCs w:val="32"/>
        </w:rPr>
        <w:t>〕</w:t>
      </w:r>
      <w:r w:rsidR="00ED22F6">
        <w:rPr>
          <w:rFonts w:ascii="Times New Roman" w:eastAsia="方正楷体_GBK" w:hAnsi="Times New Roman" w:cs="Times New Roman" w:hint="eastAsia"/>
          <w:sz w:val="32"/>
          <w:szCs w:val="32"/>
        </w:rPr>
        <w:t>4</w:t>
      </w:r>
      <w:r w:rsidRPr="00746816">
        <w:rPr>
          <w:rFonts w:ascii="Times New Roman" w:eastAsia="方正楷体_GBK" w:hAnsi="Times New Roman" w:cs="Times New Roman"/>
          <w:sz w:val="32"/>
          <w:szCs w:val="32"/>
        </w:rPr>
        <w:t>号</w:t>
      </w:r>
    </w:p>
    <w:p w:rsidR="001E67CC" w:rsidRDefault="001E67CC" w:rsidP="001B4AF0">
      <w:pPr>
        <w:spacing w:line="360" w:lineRule="exact"/>
        <w:jc w:val="center"/>
        <w:rPr>
          <w:rFonts w:eastAsia="方正小标宋_GBK"/>
          <w:sz w:val="44"/>
          <w:szCs w:val="44"/>
        </w:rPr>
      </w:pPr>
    </w:p>
    <w:p w:rsidR="001E67CC" w:rsidRDefault="001E67CC" w:rsidP="001B4AF0">
      <w:pPr>
        <w:spacing w:line="360" w:lineRule="exact"/>
        <w:jc w:val="center"/>
        <w:rPr>
          <w:rFonts w:eastAsia="方正小标宋_GBK"/>
          <w:sz w:val="44"/>
          <w:szCs w:val="44"/>
        </w:rPr>
      </w:pPr>
    </w:p>
    <w:p w:rsidR="007D2EB2" w:rsidRPr="007D2EB2" w:rsidRDefault="009917F4" w:rsidP="007D2EB2">
      <w:pPr>
        <w:spacing w:line="720" w:lineRule="exact"/>
        <w:jc w:val="center"/>
        <w:rPr>
          <w:rFonts w:ascii="方正小标宋_GBK" w:eastAsia="方正小标宋_GBK" w:hAnsi="方正小标宋简体" w:cs="方正小标宋简体"/>
          <w:kern w:val="0"/>
          <w:sz w:val="44"/>
          <w:szCs w:val="44"/>
          <w:shd w:val="clear" w:color="auto" w:fill="FFFFFF"/>
          <w:lang w:bidi="ar"/>
        </w:rPr>
      </w:pPr>
      <w:r w:rsidRPr="007D2EB2">
        <w:rPr>
          <w:rFonts w:ascii="方正小标宋_GBK" w:eastAsia="方正小标宋_GBK" w:hAnsi="方正小标宋简体" w:cs="方正小标宋简体" w:hint="eastAsia"/>
          <w:kern w:val="0"/>
          <w:sz w:val="44"/>
          <w:szCs w:val="44"/>
          <w:shd w:val="clear" w:color="auto" w:fill="FFFFFF"/>
          <w:lang w:bidi="ar"/>
        </w:rPr>
        <w:t>连云港市建设工程招标投标管理办公室</w:t>
      </w:r>
    </w:p>
    <w:p w:rsidR="00ED22F6" w:rsidRDefault="00ED22F6" w:rsidP="00ED22F6">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关于公布</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连云港市工程建设项目招标代理</w:t>
      </w:r>
    </w:p>
    <w:p w:rsidR="00ED22F6" w:rsidRDefault="00ED22F6" w:rsidP="00ED22F6">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综合考评实施方案（2022年）</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的通知</w:t>
      </w:r>
    </w:p>
    <w:p w:rsidR="00ED22F6" w:rsidRDefault="00ED22F6" w:rsidP="00ED22F6">
      <w:pPr>
        <w:snapToGrid w:val="0"/>
        <w:spacing w:line="600" w:lineRule="exact"/>
        <w:rPr>
          <w:rFonts w:ascii="仿宋" w:eastAsia="仿宋" w:hAnsi="仿宋" w:cs="仿宋" w:hint="eastAsia"/>
          <w:sz w:val="32"/>
          <w:szCs w:val="32"/>
        </w:rPr>
      </w:pPr>
    </w:p>
    <w:p w:rsidR="00ED22F6" w:rsidRDefault="00ED22F6" w:rsidP="00ED22F6">
      <w:pPr>
        <w:snapToGrid w:val="0"/>
        <w:spacing w:line="520" w:lineRule="exact"/>
        <w:rPr>
          <w:rFonts w:ascii="仿宋" w:eastAsia="仿宋" w:hAnsi="仿宋" w:cs="仿宋" w:hint="eastAsia"/>
          <w:sz w:val="32"/>
          <w:szCs w:val="32"/>
        </w:rPr>
      </w:pPr>
      <w:r>
        <w:rPr>
          <w:rFonts w:ascii="仿宋" w:eastAsia="仿宋" w:hAnsi="仿宋" w:cs="仿宋" w:hint="eastAsia"/>
          <w:sz w:val="32"/>
          <w:szCs w:val="32"/>
        </w:rPr>
        <w:t>各招标代理企业，各有关单位：</w:t>
      </w:r>
    </w:p>
    <w:p w:rsidR="00ED22F6" w:rsidRDefault="00ED22F6" w:rsidP="009F39E2">
      <w:pPr>
        <w:spacing w:line="4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经广泛征求意见和多轮讨论研究，《连云港市工程建设项目招标代理综合考评实施方案（2022年）》已编制完成</w:t>
      </w:r>
      <w:r w:rsidR="009F39E2">
        <w:rPr>
          <w:rFonts w:ascii="仿宋" w:eastAsia="仿宋" w:hAnsi="仿宋" w:cs="仿宋" w:hint="eastAsia"/>
          <w:sz w:val="32"/>
          <w:szCs w:val="32"/>
        </w:rPr>
        <w:t>，</w:t>
      </w:r>
      <w:r>
        <w:rPr>
          <w:rFonts w:ascii="仿宋" w:eastAsia="仿宋" w:hAnsi="仿宋" w:cs="仿宋" w:hint="eastAsia"/>
          <w:sz w:val="32"/>
          <w:szCs w:val="32"/>
        </w:rPr>
        <w:t>现予以公布，请各相关单位认真</w:t>
      </w:r>
      <w:r w:rsidR="009F39E2">
        <w:rPr>
          <w:rFonts w:ascii="仿宋" w:eastAsia="仿宋" w:hAnsi="仿宋" w:cs="仿宋" w:hint="eastAsia"/>
          <w:sz w:val="32"/>
          <w:szCs w:val="32"/>
        </w:rPr>
        <w:t>学习</w:t>
      </w:r>
      <w:r>
        <w:rPr>
          <w:rFonts w:ascii="仿宋" w:eastAsia="仿宋" w:hAnsi="仿宋" w:cs="仿宋" w:hint="eastAsia"/>
          <w:sz w:val="32"/>
          <w:szCs w:val="32"/>
        </w:rPr>
        <w:t>领会，并根据本方案做好考评相关准备</w:t>
      </w:r>
      <w:r w:rsidR="009F39E2">
        <w:rPr>
          <w:rFonts w:ascii="仿宋" w:eastAsia="仿宋" w:hAnsi="仿宋" w:cs="仿宋" w:hint="eastAsia"/>
          <w:sz w:val="32"/>
          <w:szCs w:val="32"/>
        </w:rPr>
        <w:t>工作</w:t>
      </w:r>
      <w:r>
        <w:rPr>
          <w:rFonts w:ascii="仿宋" w:eastAsia="仿宋" w:hAnsi="仿宋" w:cs="仿宋" w:hint="eastAsia"/>
          <w:sz w:val="32"/>
          <w:szCs w:val="32"/>
        </w:rPr>
        <w:t>。</w:t>
      </w:r>
    </w:p>
    <w:p w:rsidR="00ED22F6" w:rsidRDefault="00ED22F6" w:rsidP="009F39E2">
      <w:pPr>
        <w:spacing w:line="480" w:lineRule="exact"/>
        <w:rPr>
          <w:rFonts w:ascii="仿宋" w:eastAsia="仿宋" w:hAnsi="仿宋" w:cs="仿宋" w:hint="eastAsia"/>
          <w:sz w:val="32"/>
          <w:szCs w:val="32"/>
        </w:rPr>
      </w:pPr>
    </w:p>
    <w:p w:rsidR="00ED22F6" w:rsidRDefault="00ED22F6" w:rsidP="009F39E2">
      <w:pPr>
        <w:spacing w:line="480" w:lineRule="exact"/>
        <w:ind w:leftChars="301" w:left="1314" w:hangingChars="213" w:hanging="682"/>
        <w:rPr>
          <w:rFonts w:ascii="仿宋" w:eastAsia="仿宋" w:hAnsi="仿宋" w:cs="仿宋"/>
          <w:sz w:val="32"/>
          <w:szCs w:val="32"/>
        </w:rPr>
      </w:pPr>
      <w:r>
        <w:rPr>
          <w:rFonts w:ascii="仿宋" w:eastAsia="仿宋" w:hAnsi="仿宋" w:cs="仿宋" w:hint="eastAsia"/>
          <w:sz w:val="32"/>
          <w:szCs w:val="32"/>
        </w:rPr>
        <w:t>附</w:t>
      </w:r>
      <w:r>
        <w:rPr>
          <w:rFonts w:ascii="仿宋" w:eastAsia="仿宋" w:hAnsi="仿宋" w:cs="仿宋" w:hint="eastAsia"/>
          <w:sz w:val="32"/>
          <w:szCs w:val="32"/>
        </w:rPr>
        <w:t>：连云港市工程建设项目招标代理综合考评实施方案（2022年）</w:t>
      </w:r>
    </w:p>
    <w:p w:rsidR="00ED22F6" w:rsidRDefault="00ED22F6" w:rsidP="009F39E2">
      <w:pPr>
        <w:spacing w:line="480" w:lineRule="exact"/>
        <w:rPr>
          <w:rFonts w:ascii="仿宋" w:eastAsia="仿宋" w:hAnsi="仿宋" w:cs="仿宋"/>
          <w:sz w:val="32"/>
          <w:szCs w:val="32"/>
        </w:rPr>
      </w:pPr>
    </w:p>
    <w:p w:rsidR="00ED22F6" w:rsidRDefault="00ED22F6" w:rsidP="009F39E2">
      <w:pPr>
        <w:spacing w:line="480" w:lineRule="exact"/>
        <w:ind w:firstLineChars="700" w:firstLine="2240"/>
        <w:jc w:val="right"/>
        <w:rPr>
          <w:rFonts w:ascii="仿宋" w:eastAsia="仿宋" w:hAnsi="仿宋" w:cs="仿宋" w:hint="eastAsia"/>
          <w:sz w:val="32"/>
          <w:szCs w:val="32"/>
        </w:rPr>
      </w:pPr>
      <w:r>
        <w:rPr>
          <w:rFonts w:ascii="仿宋" w:eastAsia="仿宋" w:hAnsi="仿宋" w:cs="仿宋" w:hint="eastAsia"/>
          <w:sz w:val="32"/>
          <w:szCs w:val="32"/>
        </w:rPr>
        <w:t>连云港市建设工程招标投标管理办公室</w:t>
      </w:r>
    </w:p>
    <w:p w:rsidR="00ED22F6" w:rsidRDefault="00ED22F6" w:rsidP="009F39E2">
      <w:pPr>
        <w:wordWrap w:val="0"/>
        <w:spacing w:line="480" w:lineRule="exact"/>
        <w:ind w:firstLineChars="1400" w:firstLine="4480"/>
        <w:jc w:val="right"/>
        <w:rPr>
          <w:rFonts w:ascii="仿宋" w:eastAsia="仿宋" w:hAnsi="仿宋" w:cs="仿宋" w:hint="eastAsia"/>
          <w:sz w:val="32"/>
          <w:szCs w:val="32"/>
        </w:rPr>
      </w:pPr>
      <w:r>
        <w:rPr>
          <w:rFonts w:ascii="仿宋" w:eastAsia="仿宋" w:hAnsi="仿宋" w:cs="仿宋" w:hint="eastAsia"/>
          <w:sz w:val="32"/>
          <w:szCs w:val="32"/>
        </w:rPr>
        <w:t>2023年3月9日</w:t>
      </w:r>
      <w:r w:rsidR="009F39E2">
        <w:rPr>
          <w:rFonts w:ascii="仿宋" w:eastAsia="仿宋" w:hAnsi="仿宋" w:cs="仿宋" w:hint="eastAsia"/>
          <w:sz w:val="32"/>
          <w:szCs w:val="32"/>
        </w:rPr>
        <w:t xml:space="preserve">        </w:t>
      </w:r>
      <w:bookmarkStart w:id="0" w:name="_GoBack"/>
      <w:bookmarkEnd w:id="0"/>
    </w:p>
    <w:p w:rsidR="00ED22F6" w:rsidRDefault="00ED22F6" w:rsidP="00ED22F6">
      <w:pPr>
        <w:spacing w:line="600" w:lineRule="exact"/>
        <w:rPr>
          <w:rFonts w:ascii="黑体" w:eastAsia="黑体" w:hAnsi="黑体" w:cs="黑体" w:hint="eastAsia"/>
          <w:sz w:val="32"/>
          <w:szCs w:val="32"/>
        </w:rPr>
      </w:pPr>
      <w:r>
        <w:rPr>
          <w:rFonts w:ascii="黑体" w:eastAsia="黑体" w:hAnsi="黑体" w:cs="黑体" w:hint="eastAsia"/>
          <w:sz w:val="32"/>
          <w:szCs w:val="32"/>
        </w:rPr>
        <w:lastRenderedPageBreak/>
        <w:t>附件</w:t>
      </w:r>
    </w:p>
    <w:p w:rsidR="00ED22F6" w:rsidRDefault="00ED22F6" w:rsidP="00ED22F6">
      <w:pPr>
        <w:spacing w:line="600" w:lineRule="exact"/>
        <w:rPr>
          <w:rFonts w:ascii="黑体" w:eastAsia="黑体" w:hAnsi="黑体" w:cs="黑体" w:hint="eastAsia"/>
          <w:sz w:val="32"/>
          <w:szCs w:val="32"/>
        </w:rPr>
      </w:pPr>
    </w:p>
    <w:p w:rsidR="00ED22F6" w:rsidRDefault="00ED22F6" w:rsidP="00ED22F6">
      <w:pPr>
        <w:spacing w:line="600" w:lineRule="exact"/>
        <w:jc w:val="center"/>
        <w:rPr>
          <w:rFonts w:ascii="方正小标宋_GBK" w:eastAsia="方正小标宋_GBK" w:hAnsi="黑体"/>
          <w:sz w:val="44"/>
          <w:szCs w:val="44"/>
        </w:rPr>
      </w:pPr>
      <w:r>
        <w:rPr>
          <w:rFonts w:ascii="方正小标宋_GBK" w:eastAsia="方正小标宋_GBK" w:hAnsi="黑体" w:hint="eastAsia"/>
          <w:sz w:val="44"/>
          <w:szCs w:val="44"/>
        </w:rPr>
        <w:t>连云港市建设工程招标代理综合考评</w:t>
      </w:r>
    </w:p>
    <w:p w:rsidR="00ED22F6" w:rsidRDefault="00ED22F6" w:rsidP="00ED22F6">
      <w:pPr>
        <w:spacing w:line="600" w:lineRule="exact"/>
        <w:jc w:val="center"/>
        <w:rPr>
          <w:rFonts w:ascii="方正小标宋_GBK" w:eastAsia="方正小标宋_GBK" w:hAnsi="黑体"/>
          <w:sz w:val="44"/>
          <w:szCs w:val="44"/>
        </w:rPr>
      </w:pPr>
      <w:r>
        <w:rPr>
          <w:rFonts w:ascii="方正小标宋_GBK" w:eastAsia="方正小标宋_GBK" w:hAnsi="黑体" w:hint="eastAsia"/>
          <w:sz w:val="44"/>
          <w:szCs w:val="44"/>
        </w:rPr>
        <w:t>实施方案（2022年）</w:t>
      </w:r>
    </w:p>
    <w:p w:rsidR="00ED22F6" w:rsidRDefault="00ED22F6" w:rsidP="00ED22F6">
      <w:pPr>
        <w:pStyle w:val="a8"/>
        <w:widowControl/>
        <w:shd w:val="clear" w:color="auto" w:fill="FFFFFF"/>
        <w:spacing w:before="0" w:beforeAutospacing="0" w:after="0" w:afterAutospacing="0" w:line="600" w:lineRule="exact"/>
        <w:ind w:firstLineChars="200" w:firstLine="640"/>
        <w:jc w:val="both"/>
        <w:rPr>
          <w:rFonts w:ascii="仿宋" w:eastAsia="仿宋" w:hAnsi="仿宋" w:cs="仿宋"/>
          <w:sz w:val="32"/>
          <w:szCs w:val="32"/>
        </w:rPr>
      </w:pP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为进一步加强事中事后监管，规范我市招标代理机构从业行为，促进行业健康有序发展，努力营造公平公正、公开透明和诚实信用的招投标市场环境，依据《</w:t>
      </w:r>
      <w:r>
        <w:rPr>
          <w:rFonts w:ascii="仿宋" w:eastAsia="仿宋" w:hAnsi="仿宋" w:cs="仿宋" w:hint="eastAsia"/>
          <w:bCs/>
          <w:kern w:val="2"/>
          <w:sz w:val="32"/>
          <w:szCs w:val="32"/>
        </w:rPr>
        <w:t>国务院关于加强和规范事中事后监管的指导意见</w:t>
      </w:r>
      <w:r>
        <w:rPr>
          <w:rFonts w:ascii="仿宋" w:eastAsia="仿宋" w:hAnsi="仿宋" w:cs="仿宋" w:hint="eastAsia"/>
          <w:sz w:val="32"/>
          <w:szCs w:val="32"/>
        </w:rPr>
        <w:t>》</w:t>
      </w:r>
      <w:r>
        <w:rPr>
          <w:rFonts w:ascii="仿宋" w:eastAsia="仿宋" w:hAnsi="仿宋" w:cs="仿宋" w:hint="eastAsia"/>
          <w:bCs/>
          <w:sz w:val="32"/>
          <w:szCs w:val="32"/>
        </w:rPr>
        <w:t>（国发〔2019〕18号）、</w:t>
      </w:r>
      <w:r>
        <w:rPr>
          <w:rFonts w:ascii="仿宋" w:eastAsia="仿宋" w:hAnsi="仿宋" w:cs="仿宋" w:hint="eastAsia"/>
          <w:sz w:val="32"/>
          <w:szCs w:val="32"/>
        </w:rPr>
        <w:t>《</w:t>
      </w:r>
      <w:r>
        <w:rPr>
          <w:rFonts w:ascii="仿宋" w:eastAsia="仿宋" w:hAnsi="仿宋" w:cs="仿宋" w:hint="eastAsia"/>
          <w:kern w:val="2"/>
          <w:sz w:val="32"/>
          <w:szCs w:val="32"/>
        </w:rPr>
        <w:t>住建部办公厅关于取消工程建设项目招标代理机构资格认定加强事中事后监管的通知</w:t>
      </w:r>
      <w:r>
        <w:rPr>
          <w:rFonts w:ascii="仿宋" w:eastAsia="仿宋" w:hAnsi="仿宋" w:cs="仿宋" w:hint="eastAsia"/>
          <w:sz w:val="32"/>
          <w:szCs w:val="32"/>
        </w:rPr>
        <w:t>》（</w:t>
      </w:r>
      <w:proofErr w:type="gramStart"/>
      <w:r>
        <w:rPr>
          <w:rFonts w:ascii="仿宋" w:eastAsia="仿宋" w:hAnsi="仿宋" w:cs="仿宋" w:hint="eastAsia"/>
          <w:kern w:val="2"/>
          <w:sz w:val="32"/>
          <w:szCs w:val="32"/>
        </w:rPr>
        <w:t>建办市</w:t>
      </w:r>
      <w:r>
        <w:rPr>
          <w:rFonts w:ascii="仿宋" w:eastAsia="仿宋" w:hAnsi="仿宋" w:cs="仿宋" w:hint="eastAsia"/>
          <w:sz w:val="32"/>
          <w:szCs w:val="32"/>
        </w:rPr>
        <w:t>〔2017〕</w:t>
      </w:r>
      <w:proofErr w:type="gramEnd"/>
      <w:r>
        <w:rPr>
          <w:rFonts w:ascii="仿宋" w:eastAsia="仿宋" w:hAnsi="仿宋" w:cs="仿宋" w:hint="eastAsia"/>
          <w:sz w:val="32"/>
          <w:szCs w:val="32"/>
        </w:rPr>
        <w:t>77号）、《江苏省招标投标条例》以及有关法律法规，按照年度工作安排，对2022年</w:t>
      </w:r>
      <w:r>
        <w:rPr>
          <w:rFonts w:ascii="仿宋" w:eastAsia="仿宋" w:hAnsi="仿宋" w:cs="仿宋" w:hint="eastAsia"/>
          <w:kern w:val="2"/>
          <w:sz w:val="32"/>
          <w:szCs w:val="32"/>
        </w:rPr>
        <w:t>在我市从业的建设工程招标代理机构进行综合考评，并根据考评结果实施差异化管理。</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一、基本原则</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楷体" w:eastAsia="楷体" w:hAnsi="楷体" w:cs="楷体" w:hint="eastAsia"/>
          <w:bCs/>
          <w:sz w:val="32"/>
          <w:szCs w:val="32"/>
        </w:rPr>
        <w:t>（一）实事求是。</w:t>
      </w:r>
      <w:r>
        <w:rPr>
          <w:rFonts w:ascii="仿宋" w:eastAsia="仿宋" w:hAnsi="仿宋" w:cs="仿宋" w:hint="eastAsia"/>
          <w:sz w:val="32"/>
          <w:szCs w:val="32"/>
        </w:rPr>
        <w:t>综合考评坚持以事实为依据，用客观统一的标准评价参与综合考评的招标代理机构的实际情况。</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楷体" w:eastAsia="楷体" w:hAnsi="楷体" w:cs="楷体" w:hint="eastAsia"/>
          <w:bCs/>
          <w:sz w:val="32"/>
          <w:szCs w:val="32"/>
        </w:rPr>
        <w:t>（二）统筹兼顾。</w:t>
      </w:r>
      <w:r>
        <w:rPr>
          <w:rFonts w:ascii="仿宋" w:eastAsia="仿宋" w:hAnsi="仿宋" w:cs="仿宋" w:hint="eastAsia"/>
          <w:sz w:val="32"/>
          <w:szCs w:val="32"/>
        </w:rPr>
        <w:t>综合考评兼顾考评对象从业基本条件、实际经营行为和省动态考核以及其他综合表现情况；数据来源兼顾现场评价和“江苏省建设工程招投标行政监督平台”考评记录；价值取向兼顾公平和效率，努力提升综合考评结果的全面性和客观性。</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楷体" w:eastAsia="楷体" w:hAnsi="楷体" w:cs="楷体" w:hint="eastAsia"/>
          <w:bCs/>
          <w:sz w:val="32"/>
          <w:szCs w:val="32"/>
        </w:rPr>
        <w:lastRenderedPageBreak/>
        <w:t>（三）</w:t>
      </w:r>
      <w:proofErr w:type="gramStart"/>
      <w:r>
        <w:rPr>
          <w:rFonts w:ascii="楷体" w:eastAsia="楷体" w:hAnsi="楷体" w:cs="楷体" w:hint="eastAsia"/>
          <w:bCs/>
          <w:sz w:val="32"/>
          <w:szCs w:val="32"/>
        </w:rPr>
        <w:t>评管结合</w:t>
      </w:r>
      <w:proofErr w:type="gramEnd"/>
      <w:r>
        <w:rPr>
          <w:rFonts w:ascii="楷体" w:eastAsia="楷体" w:hAnsi="楷体" w:cs="楷体" w:hint="eastAsia"/>
          <w:bCs/>
          <w:sz w:val="32"/>
          <w:szCs w:val="32"/>
        </w:rPr>
        <w:t>。</w:t>
      </w:r>
      <w:r>
        <w:rPr>
          <w:rFonts w:ascii="仿宋" w:eastAsia="仿宋" w:hAnsi="仿宋" w:cs="仿宋" w:hint="eastAsia"/>
          <w:sz w:val="32"/>
          <w:szCs w:val="32"/>
        </w:rPr>
        <w:t>注重考评对象在我市从业的实际经营行为，尽量增加实际经营行为在综合量化考评中的权重，提升综合考评的客观性，引导招标代理机构树立“诚信守法经营、规范有序竞争”的规则意识。</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综合考评结果将及时向社会公布，供招标人选择代理机构时自主参考，同时也将作为监管部门对招标代理机构实行差异化监管的主要依据。</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宋体" w:hAnsi="宋体" w:cs="宋体"/>
          <w:bCs/>
          <w:sz w:val="32"/>
          <w:szCs w:val="32"/>
        </w:rPr>
      </w:pPr>
      <w:r>
        <w:rPr>
          <w:rFonts w:ascii="黑体" w:eastAsia="黑体" w:hAnsi="黑体" w:cs="黑体" w:hint="eastAsia"/>
          <w:bCs/>
          <w:sz w:val="32"/>
          <w:szCs w:val="32"/>
        </w:rPr>
        <w:t>二、综合考评概述</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楷体" w:eastAsia="楷体" w:hAnsi="楷体" w:cs="仿宋"/>
          <w:bCs/>
          <w:sz w:val="32"/>
          <w:szCs w:val="32"/>
        </w:rPr>
      </w:pPr>
      <w:r>
        <w:rPr>
          <w:rFonts w:ascii="楷体" w:eastAsia="楷体" w:hAnsi="楷体" w:cs="仿宋" w:hint="eastAsia"/>
          <w:bCs/>
          <w:sz w:val="32"/>
          <w:szCs w:val="32"/>
        </w:rPr>
        <w:t>（一）综合考评对象</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我市综合考评对象范围为在我市从事建设工程招标代理业务的机构。未在规定期限内报名的，视为拒绝参加综合考评。监管部门将在综合考评结束后，如实反映并公布。</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楷体" w:eastAsia="楷体" w:hAnsi="楷体" w:cs="仿宋"/>
          <w:bCs/>
          <w:sz w:val="32"/>
          <w:szCs w:val="32"/>
        </w:rPr>
      </w:pPr>
      <w:r>
        <w:rPr>
          <w:rFonts w:ascii="楷体" w:eastAsia="楷体" w:hAnsi="楷体" w:cs="仿宋" w:hint="eastAsia"/>
          <w:bCs/>
          <w:sz w:val="32"/>
          <w:szCs w:val="32"/>
        </w:rPr>
        <w:t>（二）综合考评流程</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仿宋" w:eastAsia="仿宋" w:hAnsi="仿宋" w:cs="仿宋"/>
          <w:b/>
          <w:bCs/>
          <w:sz w:val="32"/>
          <w:szCs w:val="32"/>
        </w:rPr>
      </w:pPr>
      <w:r>
        <w:rPr>
          <w:rFonts w:ascii="仿宋" w:eastAsia="仿宋" w:hAnsi="仿宋" w:cs="仿宋" w:hint="eastAsia"/>
          <w:sz w:val="32"/>
          <w:szCs w:val="32"/>
        </w:rPr>
        <w:t>1.市建设工程招标办发布通知。招标代理机构在规定期限内到指定地点报名登记，并就其参与综合考评所提供的全部资料的真实有效性和诚信守法经营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书面承诺。</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2.市建设工程招标办对招标代理机构提交的报名资料进行初审。报名结束后，市建设工程招标办将适时组织招投标监管人员和行业相关专家分组开展现场考评工作。</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3.现场考评结束后，市建设工程招标办组织计算考评得分，并根据得分情况确定考评等级，在相关平台予以公布。各监管部门按照属地管辖原则对辖区内建设工程项目招标代理机构的实际经营行为和从业表现进行持续动态考评。动态考评过程中</w:t>
      </w:r>
      <w:r>
        <w:rPr>
          <w:rFonts w:ascii="仿宋" w:eastAsia="仿宋" w:hAnsi="仿宋" w:cs="仿宋" w:hint="eastAsia"/>
          <w:sz w:val="32"/>
          <w:szCs w:val="32"/>
        </w:rPr>
        <w:lastRenderedPageBreak/>
        <w:t>发现严重违法违规行为的及时报市建设工程招标办，市建设工程招标办将根据其行为性质和严重程度，及时调整其评价等级。</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楷体" w:eastAsia="楷体" w:hAnsi="楷体" w:cs="仿宋"/>
          <w:bCs/>
          <w:sz w:val="32"/>
          <w:szCs w:val="32"/>
        </w:rPr>
      </w:pPr>
      <w:r>
        <w:rPr>
          <w:rFonts w:ascii="楷体" w:eastAsia="楷体" w:hAnsi="楷体" w:cs="仿宋" w:hint="eastAsia"/>
          <w:bCs/>
          <w:sz w:val="32"/>
          <w:szCs w:val="32"/>
        </w:rPr>
        <w:t>（三）考评计分方法</w:t>
      </w:r>
    </w:p>
    <w:p w:rsidR="00ED22F6" w:rsidRDefault="00ED22F6" w:rsidP="00ED22F6">
      <w:pPr>
        <w:pStyle w:val="a8"/>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综合考评包括从业基本条件、实际经营行为、省平台动态考核和其他综合表现四个方面，量化得分为四个方面得分的总和。</w:t>
      </w:r>
    </w:p>
    <w:p w:rsidR="00ED22F6" w:rsidRDefault="00ED22F6" w:rsidP="00ED22F6">
      <w:pPr>
        <w:pStyle w:val="a8"/>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算法为：Z=C+J+D+Q</w:t>
      </w:r>
    </w:p>
    <w:p w:rsidR="00ED22F6" w:rsidRDefault="00ED22F6" w:rsidP="00ED22F6">
      <w:pPr>
        <w:pStyle w:val="a8"/>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其中：Z为综合量化考评得分</w:t>
      </w:r>
    </w:p>
    <w:p w:rsidR="00ED22F6" w:rsidRDefault="00ED22F6" w:rsidP="00ED22F6">
      <w:pPr>
        <w:pStyle w:val="a8"/>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 xml:space="preserve">      C为代理机构从业基本条件评价得分</w:t>
      </w:r>
    </w:p>
    <w:p w:rsidR="00ED22F6" w:rsidRDefault="00ED22F6" w:rsidP="00ED22F6">
      <w:pPr>
        <w:pStyle w:val="a8"/>
        <w:shd w:val="clear" w:color="auto" w:fill="FFFFFF"/>
        <w:spacing w:before="0" w:beforeAutospacing="0" w:after="0" w:afterAutospacing="0" w:line="560" w:lineRule="exact"/>
        <w:ind w:firstLineChars="500" w:firstLine="1600"/>
        <w:jc w:val="both"/>
        <w:rPr>
          <w:rFonts w:ascii="仿宋" w:eastAsia="仿宋" w:hAnsi="仿宋" w:cs="仿宋"/>
          <w:sz w:val="32"/>
          <w:szCs w:val="32"/>
        </w:rPr>
      </w:pPr>
      <w:r>
        <w:rPr>
          <w:rFonts w:ascii="仿宋" w:eastAsia="仿宋" w:hAnsi="仿宋" w:cs="仿宋" w:hint="eastAsia"/>
          <w:sz w:val="32"/>
          <w:szCs w:val="32"/>
        </w:rPr>
        <w:t>J为实际经营行为考核评价得分</w:t>
      </w:r>
    </w:p>
    <w:p w:rsidR="00ED22F6" w:rsidRDefault="00ED22F6" w:rsidP="00ED22F6">
      <w:pPr>
        <w:pStyle w:val="a8"/>
        <w:shd w:val="clear" w:color="auto" w:fill="FFFFFF"/>
        <w:spacing w:before="0" w:beforeAutospacing="0" w:after="0" w:afterAutospacing="0" w:line="560" w:lineRule="exact"/>
        <w:ind w:firstLineChars="500" w:firstLine="1600"/>
        <w:jc w:val="both"/>
        <w:rPr>
          <w:rFonts w:ascii="仿宋" w:eastAsia="仿宋" w:hAnsi="仿宋" w:cs="仿宋"/>
          <w:sz w:val="32"/>
          <w:szCs w:val="32"/>
        </w:rPr>
      </w:pPr>
      <w:r>
        <w:rPr>
          <w:rFonts w:ascii="仿宋" w:eastAsia="仿宋" w:hAnsi="仿宋" w:cs="仿宋" w:hint="eastAsia"/>
          <w:sz w:val="32"/>
          <w:szCs w:val="32"/>
        </w:rPr>
        <w:t>D为省平台抓取的代理动态考扣分</w:t>
      </w:r>
    </w:p>
    <w:p w:rsidR="00ED22F6" w:rsidRDefault="00ED22F6" w:rsidP="00ED22F6">
      <w:pPr>
        <w:pStyle w:val="a8"/>
        <w:shd w:val="clear" w:color="auto" w:fill="FFFFFF"/>
        <w:spacing w:before="0" w:beforeAutospacing="0" w:after="0" w:afterAutospacing="0" w:line="560" w:lineRule="exact"/>
        <w:ind w:firstLineChars="500" w:firstLine="1600"/>
        <w:jc w:val="both"/>
        <w:rPr>
          <w:rFonts w:ascii="仿宋" w:eastAsia="仿宋" w:hAnsi="仿宋" w:cs="仿宋"/>
          <w:sz w:val="32"/>
          <w:szCs w:val="32"/>
        </w:rPr>
      </w:pPr>
      <w:r>
        <w:rPr>
          <w:rFonts w:ascii="仿宋" w:eastAsia="仿宋" w:hAnsi="仿宋" w:cs="仿宋" w:hint="eastAsia"/>
          <w:sz w:val="32"/>
          <w:szCs w:val="32"/>
        </w:rPr>
        <w:t>Q为其他综合表现</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宋体" w:hAnsi="宋体" w:cs="宋体"/>
          <w:sz w:val="32"/>
          <w:szCs w:val="32"/>
        </w:rPr>
      </w:pPr>
      <w:r>
        <w:rPr>
          <w:rFonts w:ascii="黑体" w:eastAsia="黑体" w:hAnsi="黑体" w:cs="黑体" w:hint="eastAsia"/>
          <w:bCs/>
          <w:sz w:val="32"/>
          <w:szCs w:val="32"/>
        </w:rPr>
        <w:t>三、量化评分方法</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楷体" w:eastAsia="楷体" w:hAnsi="楷体" w:cs="楷体"/>
          <w:bCs/>
          <w:sz w:val="32"/>
          <w:szCs w:val="32"/>
        </w:rPr>
      </w:pPr>
      <w:r>
        <w:rPr>
          <w:rFonts w:ascii="楷体" w:eastAsia="楷体" w:hAnsi="楷体" w:cs="楷体" w:hint="eastAsia"/>
          <w:bCs/>
          <w:sz w:val="32"/>
          <w:szCs w:val="32"/>
        </w:rPr>
        <w:t>（一）代理机构从业基本条件评价(详见附件1)</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楷体" w:eastAsia="楷体" w:hAnsi="楷体" w:cs="楷体"/>
          <w:bCs/>
          <w:sz w:val="32"/>
          <w:szCs w:val="32"/>
        </w:rPr>
      </w:pPr>
      <w:r>
        <w:rPr>
          <w:rFonts w:ascii="楷体" w:eastAsia="楷体" w:hAnsi="楷体" w:cs="楷体" w:hint="eastAsia"/>
          <w:bCs/>
          <w:sz w:val="32"/>
          <w:szCs w:val="32"/>
        </w:rPr>
        <w:t>（二）实际经营行为评价</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实际经营行为全面反映考评对象各方面从业表现，包括但不限于机构建设、人员参与培训情况、业务知识考核、人员在岗履职情况、代理业务评价、有无重大违法违规行为以及服从监管等情况（详见附件2）。</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楷体" w:eastAsia="楷体" w:hAnsi="楷体" w:cs="楷体"/>
          <w:bCs/>
          <w:sz w:val="32"/>
          <w:szCs w:val="32"/>
        </w:rPr>
      </w:pPr>
      <w:r>
        <w:rPr>
          <w:rFonts w:ascii="楷体" w:eastAsia="楷体" w:hAnsi="楷体" w:cs="楷体" w:hint="eastAsia"/>
          <w:bCs/>
          <w:sz w:val="32"/>
          <w:szCs w:val="32"/>
        </w:rPr>
        <w:t>（三）省平台动态考核</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依据《省招标办关于印发</w:t>
      </w:r>
      <w:r>
        <w:rPr>
          <w:rFonts w:ascii="宋体" w:hAnsi="宋体" w:cs="宋体" w:hint="eastAsia"/>
          <w:sz w:val="32"/>
          <w:szCs w:val="32"/>
        </w:rPr>
        <w:t>〈</w:t>
      </w:r>
      <w:r>
        <w:rPr>
          <w:rFonts w:ascii="仿宋_GB2312" w:eastAsia="仿宋_GB2312" w:hAnsi="宋体" w:hint="eastAsia"/>
          <w:sz w:val="32"/>
          <w:szCs w:val="32"/>
        </w:rPr>
        <w:t>江苏省工程招标代理机构动态考评管理办法</w:t>
      </w:r>
      <w:r>
        <w:rPr>
          <w:rFonts w:ascii="宋体" w:hAnsi="宋体" w:cs="宋体" w:hint="eastAsia"/>
          <w:sz w:val="32"/>
          <w:szCs w:val="32"/>
        </w:rPr>
        <w:t>〉</w:t>
      </w:r>
      <w:r>
        <w:rPr>
          <w:rFonts w:ascii="仿宋_GB2312" w:eastAsia="仿宋_GB2312" w:hAnsi="宋体" w:hint="eastAsia"/>
          <w:sz w:val="32"/>
          <w:szCs w:val="32"/>
        </w:rPr>
        <w:t>（试行）的通知》（苏建招办</w:t>
      </w:r>
      <w:r>
        <w:rPr>
          <w:rFonts w:ascii="仿宋" w:eastAsia="仿宋" w:hAnsi="仿宋" w:cs="仿宋" w:hint="eastAsia"/>
          <w:sz w:val="32"/>
          <w:szCs w:val="32"/>
        </w:rPr>
        <w:t>〔2018〕9号</w:t>
      </w:r>
      <w:r>
        <w:rPr>
          <w:rFonts w:ascii="仿宋_GB2312" w:eastAsia="仿宋_GB2312" w:hAnsi="宋体" w:hint="eastAsia"/>
          <w:sz w:val="32"/>
          <w:szCs w:val="32"/>
        </w:rPr>
        <w:t>），通过省监管平台对招标代理业务行为进行动态考核。省平台动</w:t>
      </w:r>
      <w:r>
        <w:rPr>
          <w:rFonts w:ascii="仿宋_GB2312" w:eastAsia="仿宋_GB2312" w:hAnsi="宋体" w:hint="eastAsia"/>
          <w:sz w:val="32"/>
          <w:szCs w:val="32"/>
        </w:rPr>
        <w:lastRenderedPageBreak/>
        <w:t>态考核连云港地区扣分直接计入我市招标代理综合量化考评得分。</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华文楷体" w:eastAsia="华文楷体" w:hAnsi="华文楷体" w:cs="仿宋"/>
          <w:sz w:val="32"/>
          <w:szCs w:val="32"/>
        </w:rPr>
      </w:pPr>
      <w:r>
        <w:rPr>
          <w:rFonts w:ascii="华文楷体" w:eastAsia="华文楷体" w:hAnsi="华文楷体" w:hint="eastAsia"/>
          <w:sz w:val="32"/>
          <w:szCs w:val="32"/>
        </w:rPr>
        <w:t>（四）其他综合表现</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本项评价内容包括代理机构的党建工作、行业信用评价情况、行业自律评价、社会责任履行和公益慈善情况、响应主管部门或行业协会组织的活动情况、参与行业共建以及其他与招投标行业建设有关的活动、荣誉和贡献等。</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黑体" w:eastAsia="黑体" w:hAnsi="黑体" w:cs="黑体" w:hint="eastAsia"/>
          <w:bCs/>
          <w:sz w:val="32"/>
          <w:szCs w:val="32"/>
        </w:rPr>
        <w:t>四、综合评价</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rPr>
        <w:t>监管部门依据量化考评得分对各考评对象进行综合评价。量化考评得分由高到低排序，前25%左右的考评对象列为“AAA”，中间50%左右的考评对象列为“AA”，后20%左右的考评对象列为“A”；</w:t>
      </w:r>
      <w:r>
        <w:rPr>
          <w:rFonts w:ascii="仿宋" w:eastAsia="仿宋" w:hAnsi="仿宋" w:cs="仿宋" w:hint="eastAsia"/>
          <w:b/>
          <w:bCs/>
          <w:sz w:val="32"/>
          <w:szCs w:val="32"/>
        </w:rPr>
        <w:t>最后5%左右以及达不到基本从业条件的列为</w:t>
      </w:r>
      <w:proofErr w:type="gramStart"/>
      <w:r>
        <w:rPr>
          <w:rFonts w:ascii="仿宋" w:eastAsia="仿宋" w:hAnsi="仿宋" w:cs="仿宋" w:hint="eastAsia"/>
          <w:b/>
          <w:bCs/>
          <w:sz w:val="32"/>
          <w:szCs w:val="32"/>
        </w:rPr>
        <w:t>无评价</w:t>
      </w:r>
      <w:proofErr w:type="gramEnd"/>
      <w:r>
        <w:rPr>
          <w:rFonts w:ascii="仿宋" w:eastAsia="仿宋" w:hAnsi="仿宋" w:cs="仿宋" w:hint="eastAsia"/>
          <w:b/>
          <w:bCs/>
          <w:sz w:val="32"/>
          <w:szCs w:val="32"/>
        </w:rPr>
        <w:t>等级。</w:t>
      </w:r>
      <w:r>
        <w:rPr>
          <w:rFonts w:ascii="仿宋" w:eastAsia="仿宋" w:hAnsi="仿宋" w:cs="仿宋" w:hint="eastAsia"/>
          <w:sz w:val="32"/>
          <w:szCs w:val="32"/>
        </w:rPr>
        <w:t>本次考评将根据参与考评的招标代理机构数量和综合考评具体情况，酌情考虑是否分为综合排名和本地注册企业排名两类。</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五、结果公布</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综合考评结果及时通过连云港市住建局官网、连云港市公共资源交易网或江苏省建设工程交易网向社会公布，供招标人选择代理机构时自主参考，同时为市、县（区、功能板块）监管部门实施差异化监管提供依据。</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六、分类监管</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监管部门根据综合考评结果，对全市招标代理机构开展差异化监督和管理。对综合评价为“AAA”的代理机构，逐步放开</w:t>
      </w:r>
      <w:r>
        <w:rPr>
          <w:rFonts w:ascii="仿宋" w:eastAsia="仿宋" w:hAnsi="仿宋" w:cs="仿宋" w:hint="eastAsia"/>
          <w:sz w:val="32"/>
          <w:szCs w:val="32"/>
        </w:rPr>
        <w:lastRenderedPageBreak/>
        <w:t>招标前置条件和程序审查，减少检查的频次；对综合评价为“AA”的代理机构，实行常规化监管；对综合评价为“A”及无等级的招标代理机构，加强招标程序和人员到岗履职等情况监督，适当增加检查的频次；对未参与综合考评的招标代理机构，将作为重点监管对象，实行严格的招标前置条件和程序监督，提高事前审查和事中事后检查的频次。</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宋体" w:hAnsi="宋体" w:cs="宋体"/>
          <w:bCs/>
          <w:sz w:val="32"/>
          <w:szCs w:val="32"/>
        </w:rPr>
      </w:pPr>
      <w:r>
        <w:rPr>
          <w:rFonts w:ascii="黑体" w:eastAsia="黑体" w:hAnsi="黑体" w:cs="黑体" w:hint="eastAsia"/>
          <w:bCs/>
          <w:sz w:val="32"/>
          <w:szCs w:val="32"/>
        </w:rPr>
        <w:t>七、监督管理</w:t>
      </w:r>
    </w:p>
    <w:p w:rsidR="00ED22F6" w:rsidRDefault="00ED22F6" w:rsidP="00ED22F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连云港市住房和城乡建设局为我市建设工程招标代理机构综合考评和争议处理的行政主管部门，委托市建设工程招标办负责具体实施。</w:t>
      </w:r>
    </w:p>
    <w:p w:rsidR="00ED22F6" w:rsidRDefault="00ED22F6" w:rsidP="00ED22F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市建设工程招标办根据工作需要，组织全市建设工程招标投标监管部门、连云港市招标投标协会、集中建设管理部门及社会专业人士参与综合考评工作，相关单位应当给予协助和配合。</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八、权利义务</w:t>
      </w:r>
    </w:p>
    <w:p w:rsidR="00ED22F6" w:rsidRDefault="00ED22F6" w:rsidP="00ED22F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在连云港市从事建设工程招标代理业务的机构均可报名参加综合考评。考评对象应提前准备好相关资料，确保人员在岗在职，并对其真实性、有效性负责。</w:t>
      </w:r>
    </w:p>
    <w:p w:rsidR="00ED22F6" w:rsidRDefault="00ED22F6" w:rsidP="00ED22F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凡报名参加综合考评的单位，均视为响应、认同本综合考评的办法和标准。报名登记后原则上不得无故退出，否则须承担相关后果与责任。</w:t>
      </w:r>
    </w:p>
    <w:p w:rsidR="00ED22F6" w:rsidRDefault="00ED22F6" w:rsidP="00ED22F6">
      <w:pPr>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九、退出机制</w:t>
      </w:r>
    </w:p>
    <w:p w:rsidR="00ED22F6" w:rsidRDefault="00ED22F6" w:rsidP="00ED22F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参与考评的代理机构，存在下列情形之一的，视为该考评</w:t>
      </w:r>
      <w:r>
        <w:rPr>
          <w:rFonts w:ascii="仿宋" w:eastAsia="仿宋" w:hAnsi="仿宋" w:cs="仿宋" w:hint="eastAsia"/>
          <w:sz w:val="32"/>
          <w:szCs w:val="32"/>
        </w:rPr>
        <w:lastRenderedPageBreak/>
        <w:t>对象自动退出我市招标代理机构综合考评体系，监管部门可将相关情况向社会公布。</w:t>
      </w:r>
    </w:p>
    <w:p w:rsidR="00ED22F6" w:rsidRDefault="00ED22F6" w:rsidP="00ED22F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（一）1年内未发现在我市从事建设工程招标代理业务，且无法取得联系的；</w:t>
      </w:r>
    </w:p>
    <w:p w:rsidR="00ED22F6" w:rsidRDefault="00ED22F6" w:rsidP="00ED22F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（二）招标代理机构以企业注销、机构撤销或不再从事代理业务等为由，书面说明退出综合考评的；</w:t>
      </w:r>
    </w:p>
    <w:p w:rsidR="00ED22F6" w:rsidRDefault="00ED22F6" w:rsidP="00ED22F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（三）招标代理机构提供虚假的综合考评资料、数据、人员情况的；</w:t>
      </w:r>
    </w:p>
    <w:p w:rsidR="00ED22F6" w:rsidRDefault="00ED22F6" w:rsidP="00ED22F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（四）无正当理由拒不配合监管部门依法开展的监督执法且情节恶劣的；</w:t>
      </w:r>
    </w:p>
    <w:p w:rsidR="00ED22F6" w:rsidRDefault="00ED22F6" w:rsidP="00ED22F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（五）被行政部门限制招标代理市场准入，且限制期限未满的；</w:t>
      </w:r>
    </w:p>
    <w:p w:rsidR="00ED22F6" w:rsidRDefault="00ED22F6" w:rsidP="00ED22F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（六）存在其它违规违法行为应退出考评体系的。</w:t>
      </w:r>
    </w:p>
    <w:p w:rsidR="00ED22F6" w:rsidRDefault="00ED22F6" w:rsidP="00ED22F6">
      <w:pPr>
        <w:spacing w:line="560" w:lineRule="exact"/>
        <w:ind w:firstLineChars="200" w:firstLine="640"/>
        <w:rPr>
          <w:rFonts w:ascii="黑体" w:eastAsia="黑体" w:hAnsi="黑体" w:cs="黑体"/>
          <w:b/>
          <w:bCs/>
          <w:kern w:val="0"/>
          <w:sz w:val="32"/>
          <w:szCs w:val="32"/>
        </w:rPr>
      </w:pPr>
      <w:r>
        <w:rPr>
          <w:rFonts w:ascii="仿宋" w:eastAsia="仿宋" w:hAnsi="仿宋" w:cs="仿宋" w:hint="eastAsia"/>
          <w:sz w:val="32"/>
          <w:szCs w:val="32"/>
        </w:rPr>
        <w:t>代理机构因上述原因退出综合考评体系的，其机构主要负责人在影响期限届满后方可再次提出参加考核和评价的申请。</w:t>
      </w:r>
    </w:p>
    <w:p w:rsidR="00ED22F6" w:rsidRDefault="00ED22F6" w:rsidP="00ED22F6">
      <w:pPr>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十、申诉和监督</w:t>
      </w:r>
    </w:p>
    <w:p w:rsidR="00ED22F6" w:rsidRDefault="00ED22F6" w:rsidP="00ED22F6">
      <w:pPr>
        <w:spacing w:line="560" w:lineRule="exact"/>
        <w:ind w:firstLineChars="198" w:firstLine="634"/>
        <w:rPr>
          <w:rFonts w:ascii="仿宋" w:eastAsia="仿宋" w:hAnsi="仿宋" w:cs="仿宋"/>
          <w:sz w:val="32"/>
          <w:szCs w:val="32"/>
        </w:rPr>
      </w:pPr>
      <w:r>
        <w:rPr>
          <w:rFonts w:ascii="仿宋" w:eastAsia="仿宋" w:hAnsi="仿宋" w:cs="仿宋" w:hint="eastAsia"/>
          <w:sz w:val="32"/>
          <w:szCs w:val="32"/>
        </w:rPr>
        <w:t>参与综合考评的招标代理机构发现考评结果存在计算错误或</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实情形的，可以向市建设工程招标办申请复核复评；发现参与综合考评的招标代理机构弄虚作假的，可以向市建设工程招标办举报；发现参与综合考评的人员有违规违纪违法行为的，可以向纪检监察部门反映。</w:t>
      </w:r>
    </w:p>
    <w:p w:rsidR="00ED22F6" w:rsidRDefault="00ED22F6" w:rsidP="00ED22F6">
      <w:pPr>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十一、其它事项</w:t>
      </w:r>
    </w:p>
    <w:p w:rsidR="00ED22F6" w:rsidRDefault="00ED22F6" w:rsidP="00ED22F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（一）本方案由市建设工程招标办负责具体解释。</w:t>
      </w:r>
    </w:p>
    <w:p w:rsidR="00ED22F6" w:rsidRDefault="00ED22F6" w:rsidP="00ED22F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（二）综合考评的依据和标准将</w:t>
      </w:r>
      <w:proofErr w:type="gramStart"/>
      <w:r>
        <w:rPr>
          <w:rFonts w:ascii="仿宋" w:eastAsia="仿宋" w:hAnsi="仿宋" w:cs="仿宋" w:hint="eastAsia"/>
          <w:sz w:val="32"/>
          <w:szCs w:val="32"/>
        </w:rPr>
        <w:t>根据省住建</w:t>
      </w:r>
      <w:proofErr w:type="gramEnd"/>
      <w:r>
        <w:rPr>
          <w:rFonts w:ascii="仿宋" w:eastAsia="仿宋" w:hAnsi="仿宋" w:cs="仿宋" w:hint="eastAsia"/>
          <w:sz w:val="32"/>
          <w:szCs w:val="32"/>
        </w:rPr>
        <w:t>厅、省招标</w:t>
      </w:r>
      <w:proofErr w:type="gramStart"/>
      <w:r>
        <w:rPr>
          <w:rFonts w:ascii="仿宋" w:eastAsia="仿宋" w:hAnsi="仿宋" w:cs="仿宋" w:hint="eastAsia"/>
          <w:sz w:val="32"/>
          <w:szCs w:val="32"/>
        </w:rPr>
        <w:t>办最新</w:t>
      </w:r>
      <w:proofErr w:type="gramEnd"/>
      <w:r>
        <w:rPr>
          <w:rFonts w:ascii="仿宋" w:eastAsia="仿宋" w:hAnsi="仿宋" w:cs="仿宋" w:hint="eastAsia"/>
          <w:sz w:val="32"/>
          <w:szCs w:val="32"/>
        </w:rPr>
        <w:t>文件适时调整。</w:t>
      </w:r>
    </w:p>
    <w:p w:rsidR="00ED22F6" w:rsidRDefault="00ED22F6" w:rsidP="00ED22F6">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（三）动态考评得</w:t>
      </w:r>
      <w:r>
        <w:rPr>
          <w:rFonts w:ascii="仿宋" w:eastAsia="仿宋" w:hAnsi="仿宋" w:cs="仿宋" w:hint="eastAsia"/>
          <w:kern w:val="2"/>
          <w:sz w:val="32"/>
          <w:szCs w:val="32"/>
        </w:rPr>
        <w:t>分（省平台抓取信息）每12个月重新</w:t>
      </w:r>
      <w:r>
        <w:rPr>
          <w:rFonts w:ascii="仿宋" w:eastAsia="仿宋" w:hAnsi="仿宋" w:cs="仿宋" w:hint="eastAsia"/>
          <w:sz w:val="32"/>
          <w:szCs w:val="32"/>
        </w:rPr>
        <w:t>计算1次。首次计算和周期结束重新计分时仅</w:t>
      </w:r>
      <w:proofErr w:type="gramStart"/>
      <w:r>
        <w:rPr>
          <w:rFonts w:ascii="仿宋" w:eastAsia="仿宋" w:hAnsi="仿宋" w:cs="仿宋" w:hint="eastAsia"/>
          <w:sz w:val="32"/>
          <w:szCs w:val="32"/>
        </w:rPr>
        <w:t>采集省监管</w:t>
      </w:r>
      <w:proofErr w:type="gramEnd"/>
      <w:r>
        <w:rPr>
          <w:rFonts w:ascii="仿宋" w:eastAsia="仿宋" w:hAnsi="仿宋" w:cs="仿宋" w:hint="eastAsia"/>
          <w:sz w:val="32"/>
          <w:szCs w:val="32"/>
        </w:rPr>
        <w:t>系统中最近12个月的数据。</w:t>
      </w:r>
    </w:p>
    <w:p w:rsidR="00ED22F6" w:rsidRDefault="00ED22F6" w:rsidP="00ED22F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（四）本次考评作为考评对象2022年在我市从事建设工程招标代理行为的综合评价，不作为其后续入市从业的前提条件；2023年综合考评时可根据实际情况</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适当调整。</w:t>
      </w:r>
    </w:p>
    <w:p w:rsidR="00ED22F6" w:rsidRDefault="00ED22F6" w:rsidP="00ED22F6">
      <w:pPr>
        <w:spacing w:line="560" w:lineRule="exact"/>
        <w:ind w:firstLineChars="200" w:firstLine="640"/>
        <w:jc w:val="left"/>
        <w:rPr>
          <w:rFonts w:ascii="仿宋" w:eastAsia="仿宋" w:hAnsi="仿宋" w:cs="仿宋"/>
          <w:sz w:val="32"/>
          <w:szCs w:val="32"/>
        </w:rPr>
      </w:pPr>
    </w:p>
    <w:p w:rsidR="00ED22F6" w:rsidRDefault="00ED22F6" w:rsidP="00ED22F6">
      <w:pPr>
        <w:spacing w:line="560" w:lineRule="exact"/>
        <w:ind w:leftChars="299" w:left="1607" w:hangingChars="306" w:hanging="979"/>
        <w:jc w:val="left"/>
        <w:rPr>
          <w:rFonts w:ascii="仿宋" w:eastAsia="仿宋" w:hAnsi="仿宋" w:cs="仿宋"/>
          <w:sz w:val="32"/>
          <w:szCs w:val="32"/>
        </w:rPr>
      </w:pPr>
      <w:r>
        <w:rPr>
          <w:rFonts w:ascii="仿宋" w:eastAsia="仿宋" w:hAnsi="仿宋" w:cs="仿宋" w:hint="eastAsia"/>
          <w:sz w:val="32"/>
          <w:szCs w:val="32"/>
        </w:rPr>
        <w:t>附：1.从业基本条件评价指标和标准</w:t>
      </w:r>
    </w:p>
    <w:p w:rsidR="00ED22F6" w:rsidRDefault="00ED22F6" w:rsidP="00ED22F6">
      <w:pPr>
        <w:spacing w:line="560" w:lineRule="exact"/>
        <w:ind w:leftChars="619" w:left="1607" w:hangingChars="96" w:hanging="307"/>
        <w:jc w:val="left"/>
        <w:rPr>
          <w:rFonts w:ascii="仿宋" w:eastAsia="仿宋" w:hAnsi="仿宋" w:cs="仿宋"/>
          <w:sz w:val="32"/>
          <w:szCs w:val="32"/>
        </w:rPr>
      </w:pPr>
      <w:r>
        <w:rPr>
          <w:rFonts w:ascii="仿宋" w:eastAsia="仿宋" w:hAnsi="仿宋" w:cs="仿宋" w:hint="eastAsia"/>
          <w:sz w:val="32"/>
          <w:szCs w:val="32"/>
        </w:rPr>
        <w:t xml:space="preserve">2.实际经营行为考评计分细则                </w:t>
      </w:r>
    </w:p>
    <w:p w:rsidR="00ED22F6" w:rsidRDefault="00ED22F6" w:rsidP="00ED22F6">
      <w:pPr>
        <w:spacing w:line="600" w:lineRule="exact"/>
        <w:ind w:firstLine="475"/>
        <w:rPr>
          <w:rFonts w:ascii="仿宋" w:eastAsia="仿宋" w:hAnsi="仿宋" w:cs="黑体"/>
          <w:sz w:val="32"/>
          <w:szCs w:val="32"/>
        </w:rPr>
      </w:pPr>
      <w:r>
        <w:rPr>
          <w:rFonts w:ascii="黑体" w:eastAsia="黑体" w:hAnsi="黑体" w:cs="黑体" w:hint="eastAsia"/>
          <w:sz w:val="32"/>
          <w:szCs w:val="32"/>
        </w:rPr>
        <w:t xml:space="preserve">     </w:t>
      </w:r>
      <w:r>
        <w:rPr>
          <w:rFonts w:ascii="仿宋" w:eastAsia="仿宋" w:hAnsi="仿宋" w:cs="黑体" w:hint="eastAsia"/>
          <w:sz w:val="32"/>
          <w:szCs w:val="32"/>
        </w:rPr>
        <w:t>3.其他综合表现情况计分细则</w:t>
      </w:r>
    </w:p>
    <w:p w:rsidR="00ED22F6" w:rsidRDefault="00ED22F6" w:rsidP="00ED22F6">
      <w:pPr>
        <w:snapToGrid w:val="0"/>
        <w:rPr>
          <w:rFonts w:ascii="黑体" w:eastAsia="黑体" w:hAnsi="黑体" w:cs="黑体"/>
          <w:sz w:val="32"/>
          <w:szCs w:val="32"/>
        </w:rPr>
      </w:pPr>
      <w:r>
        <w:rPr>
          <w:rFonts w:ascii="黑体" w:eastAsia="黑体" w:hAnsi="黑体" w:cs="黑体"/>
          <w:sz w:val="32"/>
          <w:szCs w:val="32"/>
        </w:rPr>
        <w:br w:type="page"/>
      </w:r>
      <w:r>
        <w:rPr>
          <w:rFonts w:ascii="黑体" w:eastAsia="黑体" w:hAnsi="黑体" w:cs="黑体" w:hint="eastAsia"/>
          <w:sz w:val="32"/>
          <w:szCs w:val="32"/>
        </w:rPr>
        <w:lastRenderedPageBreak/>
        <w:t>附件1</w:t>
      </w:r>
    </w:p>
    <w:p w:rsidR="00ED22F6" w:rsidRDefault="00ED22F6" w:rsidP="00ED22F6">
      <w:pPr>
        <w:snapToGrid w:val="0"/>
        <w:rPr>
          <w:rFonts w:ascii="黑体" w:eastAsia="黑体" w:hAnsi="黑体" w:cs="黑体"/>
          <w:sz w:val="32"/>
          <w:szCs w:val="32"/>
        </w:rPr>
      </w:pPr>
    </w:p>
    <w:p w:rsidR="00ED22F6" w:rsidRDefault="00ED22F6" w:rsidP="00ED22F6">
      <w:pPr>
        <w:snapToGrid w:val="0"/>
        <w:spacing w:line="640" w:lineRule="exact"/>
        <w:jc w:val="center"/>
        <w:rPr>
          <w:rFonts w:ascii="方正小标宋_GBK" w:eastAsia="方正小标宋_GBK" w:hAnsi="黑体"/>
          <w:sz w:val="44"/>
          <w:szCs w:val="44"/>
        </w:rPr>
      </w:pPr>
      <w:r>
        <w:rPr>
          <w:rFonts w:ascii="方正小标宋_GBK" w:eastAsia="方正小标宋_GBK" w:hAnsi="黑体" w:hint="eastAsia"/>
          <w:sz w:val="44"/>
          <w:szCs w:val="44"/>
        </w:rPr>
        <w:t>从业基本条件评价指标和标准</w:t>
      </w:r>
    </w:p>
    <w:p w:rsidR="00ED22F6" w:rsidRDefault="00ED22F6" w:rsidP="00ED22F6">
      <w:pPr>
        <w:spacing w:line="600" w:lineRule="exact"/>
        <w:ind w:firstLineChars="200" w:firstLine="640"/>
        <w:rPr>
          <w:rFonts w:ascii="仿宋" w:eastAsia="仿宋" w:hAnsi="仿宋" w:cs="仿宋"/>
          <w:sz w:val="32"/>
          <w:szCs w:val="32"/>
        </w:rPr>
      </w:pPr>
    </w:p>
    <w:p w:rsidR="00ED22F6" w:rsidRDefault="00ED22F6" w:rsidP="00ED22F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根据招标投标法和工程招标代理工作的实际需要，招标代理机构应合法设立并具备一定数量的专业人员、固定办公场所和业绩等基本条件。</w:t>
      </w:r>
    </w:p>
    <w:p w:rsidR="00ED22F6" w:rsidRDefault="00ED22F6" w:rsidP="00ED22F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我市代理机构从业基本条件评价实行基本分制。满足所有条件的</w:t>
      </w:r>
      <w:proofErr w:type="gramStart"/>
      <w:r>
        <w:rPr>
          <w:rFonts w:ascii="仿宋" w:eastAsia="仿宋" w:hAnsi="仿宋" w:cs="仿宋" w:hint="eastAsia"/>
          <w:sz w:val="32"/>
          <w:szCs w:val="32"/>
        </w:rPr>
        <w:t>获基本</w:t>
      </w:r>
      <w:proofErr w:type="gramEnd"/>
      <w:r>
        <w:rPr>
          <w:rFonts w:ascii="仿宋" w:eastAsia="仿宋" w:hAnsi="仿宋" w:cs="仿宋" w:hint="eastAsia"/>
          <w:sz w:val="32"/>
          <w:szCs w:val="32"/>
        </w:rPr>
        <w:t>分60分；不满足的，根据被评价对象的实际情况计算相应基本分值。具体包括以下几个方面：</w:t>
      </w:r>
    </w:p>
    <w:p w:rsidR="00ED22F6" w:rsidRDefault="00ED22F6" w:rsidP="00ED22F6">
      <w:pPr>
        <w:spacing w:line="560" w:lineRule="exact"/>
        <w:ind w:firstLineChars="200" w:firstLine="640"/>
        <w:rPr>
          <w:rFonts w:ascii="楷体" w:eastAsia="楷体" w:hAnsi="楷体" w:cs="仿宋"/>
          <w:sz w:val="32"/>
          <w:szCs w:val="32"/>
        </w:rPr>
      </w:pPr>
      <w:r>
        <w:rPr>
          <w:rFonts w:ascii="楷体" w:eastAsia="楷体" w:hAnsi="楷体" w:cs="仿宋" w:hint="eastAsia"/>
          <w:sz w:val="32"/>
          <w:szCs w:val="32"/>
        </w:rPr>
        <w:t>（一）营业场所（满分15分）</w:t>
      </w:r>
    </w:p>
    <w:p w:rsidR="00ED22F6" w:rsidRDefault="00ED22F6" w:rsidP="00ED22F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代理机构须有自己的营业场所，营业场所面积不小于150㎡。满足150㎡的得10分；不足150㎡的，每少20㎡扣1分，营业场所少于50㎡的，本项不得分；超过150㎡的，每增加50㎡加1分，最多加5分。面积增减不足20㎡或50㎡的，分别按插入法计算，四舍五入保留一位小数。同一场所由两个及以上代理机构共用的，只认定为一个代理机构的营业场所。</w:t>
      </w:r>
    </w:p>
    <w:p w:rsidR="00ED22F6" w:rsidRDefault="00ED22F6" w:rsidP="00ED22F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代理机构应提供营业场所证明材料：自有产权的，需提供相应的权属证书；租用的，需提供房屋租赁登记备案证明；不能办理房屋租赁备案手续的，应提供出租人书面情况说明和租赁双方合同。</w:t>
      </w:r>
    </w:p>
    <w:p w:rsidR="00ED22F6" w:rsidRDefault="00ED22F6" w:rsidP="00ED22F6">
      <w:pPr>
        <w:spacing w:line="560" w:lineRule="exact"/>
        <w:ind w:firstLineChars="200" w:firstLine="640"/>
        <w:rPr>
          <w:rFonts w:ascii="楷体" w:eastAsia="楷体" w:hAnsi="楷体" w:cs="仿宋"/>
          <w:sz w:val="32"/>
          <w:szCs w:val="32"/>
        </w:rPr>
      </w:pPr>
      <w:r>
        <w:rPr>
          <w:rFonts w:ascii="楷体" w:eastAsia="楷体" w:hAnsi="楷体" w:cs="仿宋" w:hint="eastAsia"/>
          <w:sz w:val="32"/>
          <w:szCs w:val="32"/>
        </w:rPr>
        <w:t>（二）从业人员（满分20分）</w:t>
      </w:r>
    </w:p>
    <w:p w:rsidR="00ED22F6" w:rsidRDefault="00ED22F6" w:rsidP="00ED22F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代理机构须有自己的专业人员，具备不少于2名注册造价工程师（至少1名一级注册造价工程师）和3名熟悉招投标业</w:t>
      </w:r>
      <w:r>
        <w:rPr>
          <w:rFonts w:ascii="仿宋" w:eastAsia="仿宋" w:hAnsi="仿宋" w:cs="仿宋" w:hint="eastAsia"/>
          <w:sz w:val="32"/>
          <w:szCs w:val="32"/>
        </w:rPr>
        <w:lastRenderedPageBreak/>
        <w:t>务（以本年度或上年度招标代理业务考试合格为据）的工作人员。满足以上条件的得基本分15分；每增加1名一级注册造价工程师加3分，每增加1名二级注册</w:t>
      </w:r>
      <w:proofErr w:type="gramStart"/>
      <w:r>
        <w:rPr>
          <w:rFonts w:ascii="仿宋" w:eastAsia="仿宋" w:hAnsi="仿宋" w:cs="仿宋" w:hint="eastAsia"/>
          <w:sz w:val="32"/>
          <w:szCs w:val="32"/>
        </w:rPr>
        <w:t>造价师</w:t>
      </w:r>
      <w:proofErr w:type="gramEnd"/>
      <w:r>
        <w:rPr>
          <w:rFonts w:ascii="仿宋" w:eastAsia="仿宋" w:hAnsi="仿宋" w:cs="仿宋" w:hint="eastAsia"/>
          <w:sz w:val="32"/>
          <w:szCs w:val="32"/>
        </w:rPr>
        <w:t>加1分，本项最多加5分；每少1人扣1分，无一级注册造价工程师的，本项不得分。上述人员必须在申请考评的代理机构实际在岗履职，且不得同时在两个及以上单位注册和从业，否则视为弄虚作假。</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结合市场实际情况，对于市外公司以自己名义在连从业的、未办理独立营业执照的分支机构和办事处，相关人员劳动合同可与其总公司签订，社保可由总公司在其所在地缴纳，但该人员必须实际在连履职；对于已办理独立营业执照的分公司，相关人员劳动合同原则上应与该分公司签订，社保原则上应由该分公司在连缴纳，特殊情况需</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书面合理说明并提供相关佐证依据，否则不予认可；对于外地公司在连子公司和本地注册的公司，相关人员劳动合同须与考评对象签订，社保须由考评对象在本地缴纳，否则原则上不予认可；确有其它特殊情况的，由考评对象书面申请说明，由市建设工程招标办组织相关考评人员集体研究确定。</w:t>
      </w:r>
    </w:p>
    <w:p w:rsidR="00ED22F6" w:rsidRDefault="00ED22F6" w:rsidP="00ED22F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考评对象应提供人员证明材料，包括注册证书、连续缴纳的近3个月</w:t>
      </w:r>
      <w:proofErr w:type="gramStart"/>
      <w:r>
        <w:rPr>
          <w:rFonts w:ascii="仿宋" w:eastAsia="仿宋" w:hAnsi="仿宋" w:cs="仿宋" w:hint="eastAsia"/>
          <w:sz w:val="32"/>
          <w:szCs w:val="32"/>
        </w:rPr>
        <w:t>社保证明</w:t>
      </w:r>
      <w:proofErr w:type="gramEnd"/>
      <w:r>
        <w:rPr>
          <w:rFonts w:ascii="仿宋" w:eastAsia="仿宋" w:hAnsi="仿宋" w:cs="仿宋" w:hint="eastAsia"/>
          <w:sz w:val="32"/>
          <w:szCs w:val="32"/>
        </w:rPr>
        <w:t>和劳动合同（代理机构成立或新录人员聘用不满3个月的，以实际时间为准）。退休返聘人员提供退休证书等材料后无需提供</w:t>
      </w:r>
      <w:proofErr w:type="gramStart"/>
      <w:r>
        <w:rPr>
          <w:rFonts w:ascii="仿宋" w:eastAsia="仿宋" w:hAnsi="仿宋" w:cs="仿宋" w:hint="eastAsia"/>
          <w:sz w:val="32"/>
          <w:szCs w:val="32"/>
        </w:rPr>
        <w:t>社保证明</w:t>
      </w:r>
      <w:proofErr w:type="gramEnd"/>
      <w:r>
        <w:rPr>
          <w:rFonts w:ascii="仿宋" w:eastAsia="仿宋" w:hAnsi="仿宋" w:cs="仿宋" w:hint="eastAsia"/>
          <w:sz w:val="32"/>
          <w:szCs w:val="32"/>
        </w:rPr>
        <w:t>（需具备满足工作需要的身体条件）。从业人员考评时须在岗在职并携带有效身份证供查验，确保“人证合一”，否则不予认可。</w:t>
      </w:r>
    </w:p>
    <w:p w:rsidR="00ED22F6" w:rsidRDefault="00ED22F6" w:rsidP="00ED22F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（三）代理业绩（满分15分）</w:t>
      </w:r>
    </w:p>
    <w:p w:rsidR="00ED22F6" w:rsidRDefault="00ED22F6" w:rsidP="00ED22F6">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考评对象在2022年1月1日至12月31日期间，在连云港市范围内完成过1项招标代理业务，且无</w:t>
      </w:r>
      <w:proofErr w:type="gramStart"/>
      <w:r>
        <w:rPr>
          <w:rFonts w:ascii="仿宋" w:eastAsia="仿宋" w:hAnsi="仿宋" w:cs="仿宋" w:hint="eastAsia"/>
          <w:sz w:val="32"/>
          <w:szCs w:val="32"/>
        </w:rPr>
        <w:t>严重业务</w:t>
      </w:r>
      <w:proofErr w:type="gramEnd"/>
      <w:r>
        <w:rPr>
          <w:rFonts w:ascii="仿宋" w:eastAsia="仿宋" w:hAnsi="仿宋" w:cs="仿宋" w:hint="eastAsia"/>
          <w:sz w:val="32"/>
          <w:szCs w:val="32"/>
        </w:rPr>
        <w:t>缺陷和失信行为的，即可得基本分12分；完成过2项及以上（要求同上）的，得15分。代理业务必须由申请考评的招标代理机构完成（以实际在岗履职的代理项目负责人和一级注册造价工程师为据），否则不予认可。本款所称代理业务须为建设工程项目（含工程、货物、服务），有完整的招评标资料，且招标过程无严重违法违规行为。</w:t>
      </w:r>
    </w:p>
    <w:p w:rsidR="00ED22F6" w:rsidRDefault="00ED22F6" w:rsidP="00ED22F6">
      <w:pPr>
        <w:spacing w:line="560" w:lineRule="exact"/>
        <w:ind w:firstLineChars="200" w:firstLine="640"/>
        <w:rPr>
          <w:rFonts w:ascii="楷体" w:eastAsia="楷体" w:hAnsi="楷体" w:cs="仿宋"/>
          <w:sz w:val="32"/>
          <w:szCs w:val="32"/>
        </w:rPr>
      </w:pPr>
      <w:r>
        <w:rPr>
          <w:rFonts w:ascii="楷体" w:eastAsia="楷体" w:hAnsi="楷体" w:cs="仿宋" w:hint="eastAsia"/>
          <w:sz w:val="32"/>
          <w:szCs w:val="32"/>
        </w:rPr>
        <w:t>（四）其它材料（满分10分）</w:t>
      </w:r>
    </w:p>
    <w:p w:rsidR="00ED22F6" w:rsidRDefault="00ED22F6" w:rsidP="00ED22F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考评对象应提供符合规定的营业执照，或授权委托、机构设立、人员任聘等证明材料以及考评所需的其他材料。材料齐全的得10分；材料严重不齐的，本项不得分。</w:t>
      </w:r>
    </w:p>
    <w:p w:rsidR="00ED22F6" w:rsidRDefault="00ED22F6" w:rsidP="00ED22F6">
      <w:pPr>
        <w:spacing w:line="560" w:lineRule="exact"/>
        <w:rPr>
          <w:rFonts w:ascii="黑体" w:eastAsia="黑体" w:hAnsi="黑体" w:cs="黑体"/>
          <w:sz w:val="32"/>
          <w:szCs w:val="32"/>
        </w:rPr>
      </w:pPr>
    </w:p>
    <w:p w:rsidR="00ED22F6" w:rsidRDefault="00ED22F6" w:rsidP="00ED22F6">
      <w:pPr>
        <w:spacing w:line="560" w:lineRule="exact"/>
        <w:rPr>
          <w:rFonts w:ascii="黑体" w:eastAsia="黑体" w:hAnsi="黑体" w:cs="黑体"/>
          <w:sz w:val="32"/>
          <w:szCs w:val="32"/>
        </w:rPr>
      </w:pPr>
    </w:p>
    <w:p w:rsidR="00ED22F6" w:rsidRDefault="00ED22F6" w:rsidP="00ED22F6">
      <w:pPr>
        <w:spacing w:line="560" w:lineRule="exact"/>
        <w:rPr>
          <w:rFonts w:ascii="黑体" w:eastAsia="黑体" w:hAnsi="黑体" w:cs="黑体"/>
          <w:sz w:val="32"/>
          <w:szCs w:val="32"/>
        </w:rPr>
      </w:pPr>
    </w:p>
    <w:p w:rsidR="00ED22F6" w:rsidRDefault="00ED22F6" w:rsidP="00ED22F6">
      <w:pPr>
        <w:spacing w:line="560" w:lineRule="exact"/>
        <w:rPr>
          <w:rFonts w:ascii="黑体" w:eastAsia="黑体" w:hAnsi="黑体" w:cs="黑体"/>
          <w:sz w:val="32"/>
          <w:szCs w:val="32"/>
        </w:rPr>
      </w:pPr>
    </w:p>
    <w:p w:rsidR="00ED22F6" w:rsidRDefault="00ED22F6" w:rsidP="00ED22F6">
      <w:pPr>
        <w:spacing w:line="560" w:lineRule="exact"/>
        <w:rPr>
          <w:rFonts w:ascii="黑体" w:eastAsia="黑体" w:hAnsi="黑体" w:cs="黑体"/>
          <w:sz w:val="32"/>
          <w:szCs w:val="32"/>
        </w:rPr>
      </w:pPr>
    </w:p>
    <w:p w:rsidR="00ED22F6" w:rsidRDefault="00ED22F6" w:rsidP="00ED22F6">
      <w:pPr>
        <w:spacing w:line="560" w:lineRule="exact"/>
        <w:rPr>
          <w:rFonts w:ascii="黑体" w:eastAsia="黑体" w:hAnsi="黑体" w:cs="黑体"/>
          <w:sz w:val="32"/>
          <w:szCs w:val="32"/>
        </w:rPr>
      </w:pPr>
    </w:p>
    <w:p w:rsidR="00ED22F6" w:rsidRDefault="00ED22F6" w:rsidP="00ED22F6">
      <w:pPr>
        <w:spacing w:line="560" w:lineRule="exact"/>
        <w:rPr>
          <w:rFonts w:ascii="黑体" w:eastAsia="黑体" w:hAnsi="黑体" w:cs="黑体"/>
          <w:sz w:val="32"/>
          <w:szCs w:val="32"/>
        </w:rPr>
      </w:pPr>
    </w:p>
    <w:p w:rsidR="00ED22F6" w:rsidRDefault="00ED22F6" w:rsidP="00ED22F6">
      <w:pPr>
        <w:spacing w:line="560" w:lineRule="exact"/>
        <w:rPr>
          <w:rFonts w:ascii="黑体" w:eastAsia="黑体" w:hAnsi="黑体" w:cs="黑体" w:hint="eastAsia"/>
          <w:sz w:val="32"/>
          <w:szCs w:val="32"/>
        </w:rPr>
      </w:pPr>
    </w:p>
    <w:p w:rsidR="00ED22F6" w:rsidRDefault="00ED22F6" w:rsidP="00ED22F6">
      <w:pPr>
        <w:spacing w:line="560" w:lineRule="exact"/>
        <w:rPr>
          <w:rFonts w:ascii="黑体" w:eastAsia="黑体" w:hAnsi="黑体" w:cs="黑体" w:hint="eastAsia"/>
          <w:sz w:val="32"/>
          <w:szCs w:val="32"/>
        </w:rPr>
      </w:pPr>
    </w:p>
    <w:p w:rsidR="00ED22F6" w:rsidRDefault="00ED22F6" w:rsidP="00ED22F6">
      <w:pPr>
        <w:spacing w:line="560" w:lineRule="exact"/>
        <w:rPr>
          <w:rFonts w:ascii="黑体" w:eastAsia="黑体" w:hAnsi="黑体" w:cs="黑体" w:hint="eastAsia"/>
          <w:sz w:val="32"/>
          <w:szCs w:val="32"/>
        </w:rPr>
      </w:pPr>
    </w:p>
    <w:p w:rsidR="00ED22F6" w:rsidRDefault="00ED22F6" w:rsidP="00ED22F6">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附件2</w:t>
      </w:r>
    </w:p>
    <w:p w:rsidR="00ED22F6" w:rsidRDefault="00ED22F6" w:rsidP="00ED22F6">
      <w:pPr>
        <w:spacing w:line="600" w:lineRule="exact"/>
        <w:rPr>
          <w:rFonts w:ascii="黑体" w:eastAsia="黑体" w:hAnsi="黑体" w:cs="黑体"/>
          <w:sz w:val="32"/>
          <w:szCs w:val="32"/>
        </w:rPr>
      </w:pPr>
    </w:p>
    <w:p w:rsidR="00ED22F6" w:rsidRDefault="00ED22F6" w:rsidP="00ED22F6">
      <w:pPr>
        <w:snapToGrid w:val="0"/>
        <w:spacing w:line="600" w:lineRule="exact"/>
        <w:jc w:val="center"/>
        <w:rPr>
          <w:rFonts w:ascii="方正小标宋_GBK" w:eastAsia="方正小标宋_GBK" w:hAnsi="黑体"/>
          <w:sz w:val="44"/>
          <w:szCs w:val="44"/>
        </w:rPr>
      </w:pPr>
      <w:r>
        <w:rPr>
          <w:rFonts w:ascii="方正小标宋_GBK" w:eastAsia="方正小标宋_GBK" w:hAnsi="黑体" w:hint="eastAsia"/>
          <w:sz w:val="44"/>
          <w:szCs w:val="44"/>
        </w:rPr>
        <w:t>实际经营行为考评计分细则</w:t>
      </w:r>
    </w:p>
    <w:p w:rsidR="00ED22F6" w:rsidRDefault="00ED22F6" w:rsidP="00ED22F6">
      <w:pPr>
        <w:spacing w:line="600" w:lineRule="exact"/>
        <w:jc w:val="center"/>
        <w:rPr>
          <w:rFonts w:ascii="仿宋" w:eastAsia="仿宋" w:hAnsi="仿宋" w:cs="仿宋"/>
          <w:sz w:val="32"/>
          <w:szCs w:val="32"/>
        </w:rPr>
      </w:pPr>
    </w:p>
    <w:p w:rsidR="00ED22F6" w:rsidRDefault="00ED22F6" w:rsidP="00ED22F6">
      <w:pPr>
        <w:spacing w:line="600" w:lineRule="exact"/>
        <w:jc w:val="center"/>
        <w:rPr>
          <w:rFonts w:ascii="仿宋" w:eastAsia="仿宋" w:hAnsi="仿宋" w:cs="仿宋"/>
          <w:b/>
          <w:bCs/>
          <w:sz w:val="32"/>
          <w:szCs w:val="32"/>
        </w:rPr>
      </w:pPr>
      <w:r>
        <w:rPr>
          <w:rFonts w:ascii="仿宋" w:eastAsia="仿宋" w:hAnsi="仿宋" w:cs="仿宋" w:hint="eastAsia"/>
          <w:b/>
          <w:bCs/>
          <w:sz w:val="32"/>
          <w:szCs w:val="32"/>
        </w:rPr>
        <w:t>第一章 总则</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第一条 为全面体现连云港市建设工程招标代理综合考评对象（以下简称考评对象）的实际从业表现，使综合考评更加科学合理，形成积极的价值导向，依据《中华人民共和国招标投标法》《中华人民共和国招标投标法实施条例》《江苏省招标投标条例》等法律法规，制定本细则。</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第二条 本细则适用于连云港市建设工程招标代理综合考评的实际经营行为分值计算。</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第三条 实际经营行为考评计算得出的加分和减分总数可以乘以系数X后再记入量化考评总分。X的具体值由市建设工程招标办组织研究确定。未经研究的，X值取1.0。</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第四条 根据“分级负责、属地管理”原则，各县区（功能板块）建设工程招投标监管部门负责本辖区内综合考评实际经营行为分值的记取和核算，于每个计分周期结束后15日内报至市建设工程招标办汇总。</w:t>
      </w:r>
    </w:p>
    <w:p w:rsidR="00ED22F6" w:rsidRDefault="00ED22F6" w:rsidP="00ED22F6">
      <w:pPr>
        <w:spacing w:line="600" w:lineRule="exact"/>
        <w:rPr>
          <w:rFonts w:ascii="仿宋" w:eastAsia="仿宋" w:hAnsi="仿宋" w:cs="仿宋"/>
          <w:sz w:val="32"/>
          <w:szCs w:val="32"/>
        </w:rPr>
      </w:pPr>
      <w:r>
        <w:rPr>
          <w:rFonts w:ascii="仿宋" w:eastAsia="仿宋" w:hAnsi="仿宋" w:cs="仿宋" w:hint="eastAsia"/>
          <w:sz w:val="32"/>
          <w:szCs w:val="32"/>
        </w:rPr>
        <w:t xml:space="preserve">    第五条 实际经营行为考评分值加分和减分以考评对象自身的实际行为为依据，非由考评对象实际实施的行为不予认可。</w:t>
      </w:r>
    </w:p>
    <w:p w:rsidR="00ED22F6" w:rsidRDefault="00ED22F6" w:rsidP="00ED22F6">
      <w:pPr>
        <w:spacing w:line="600" w:lineRule="exact"/>
        <w:jc w:val="center"/>
        <w:rPr>
          <w:rFonts w:ascii="仿宋" w:eastAsia="仿宋" w:hAnsi="仿宋" w:cs="仿宋" w:hint="eastAsia"/>
          <w:b/>
          <w:bCs/>
          <w:sz w:val="32"/>
          <w:szCs w:val="32"/>
        </w:rPr>
      </w:pPr>
    </w:p>
    <w:p w:rsidR="00ED22F6" w:rsidRDefault="00ED22F6" w:rsidP="00ED22F6">
      <w:pPr>
        <w:spacing w:line="600" w:lineRule="exact"/>
        <w:jc w:val="center"/>
        <w:rPr>
          <w:rFonts w:ascii="仿宋" w:eastAsia="仿宋" w:hAnsi="仿宋" w:cs="仿宋"/>
          <w:b/>
          <w:bCs/>
          <w:sz w:val="32"/>
          <w:szCs w:val="32"/>
        </w:rPr>
      </w:pPr>
      <w:r>
        <w:rPr>
          <w:rFonts w:ascii="仿宋" w:eastAsia="仿宋" w:hAnsi="仿宋" w:cs="仿宋" w:hint="eastAsia"/>
          <w:b/>
          <w:bCs/>
          <w:sz w:val="32"/>
          <w:szCs w:val="32"/>
        </w:rPr>
        <w:lastRenderedPageBreak/>
        <w:t>第二章 加分</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第六条 考评对象在“江苏省建设工程招投标行政监督平台”中完成我市建设工程招标代理项目即可获得业务考核加分，计分方法如下。</w:t>
      </w:r>
    </w:p>
    <w:p w:rsidR="00ED22F6" w:rsidRDefault="00ED22F6" w:rsidP="00ED22F6">
      <w:pPr>
        <w:spacing w:line="600" w:lineRule="exact"/>
        <w:ind w:firstLineChars="800" w:firstLine="2570"/>
        <w:rPr>
          <w:rFonts w:ascii="仿宋" w:eastAsia="仿宋" w:hAnsi="仿宋" w:cs="仿宋"/>
          <w:b/>
          <w:bCs/>
          <w:sz w:val="32"/>
          <w:szCs w:val="32"/>
        </w:rPr>
      </w:pPr>
      <w:r>
        <w:rPr>
          <w:rFonts w:ascii="仿宋" w:eastAsia="仿宋" w:hAnsi="仿宋" w:cs="仿宋" w:hint="eastAsia"/>
          <w:b/>
          <w:bCs/>
          <w:sz w:val="32"/>
          <w:szCs w:val="32"/>
        </w:rPr>
        <w:t>代理项目加分标准（表1）</w:t>
      </w:r>
    </w:p>
    <w:tbl>
      <w:tblPr>
        <w:tblStyle w:val="a9"/>
        <w:tblW w:w="0" w:type="auto"/>
        <w:tblInd w:w="303" w:type="dxa"/>
        <w:tblLook w:val="0000" w:firstRow="0" w:lastRow="0" w:firstColumn="0" w:lastColumn="0" w:noHBand="0" w:noVBand="0"/>
      </w:tblPr>
      <w:tblGrid>
        <w:gridCol w:w="1215"/>
        <w:gridCol w:w="4230"/>
        <w:gridCol w:w="3198"/>
      </w:tblGrid>
      <w:tr w:rsidR="00ED22F6" w:rsidTr="007B2966">
        <w:tc>
          <w:tcPr>
            <w:tcW w:w="1215"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序号</w:t>
            </w:r>
          </w:p>
        </w:tc>
        <w:tc>
          <w:tcPr>
            <w:tcW w:w="4230"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项目规模</w:t>
            </w:r>
          </w:p>
        </w:tc>
        <w:tc>
          <w:tcPr>
            <w:tcW w:w="3198"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加分标准</w:t>
            </w:r>
          </w:p>
        </w:tc>
      </w:tr>
      <w:tr w:rsidR="00ED22F6" w:rsidTr="007B2966">
        <w:tc>
          <w:tcPr>
            <w:tcW w:w="1215"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1</w:t>
            </w:r>
          </w:p>
        </w:tc>
        <w:tc>
          <w:tcPr>
            <w:tcW w:w="4230"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EPC或评定分离项目</w:t>
            </w:r>
          </w:p>
        </w:tc>
        <w:tc>
          <w:tcPr>
            <w:tcW w:w="3198"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2分/项</w:t>
            </w:r>
          </w:p>
        </w:tc>
      </w:tr>
      <w:tr w:rsidR="00ED22F6" w:rsidTr="007B2966">
        <w:tc>
          <w:tcPr>
            <w:tcW w:w="1215"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2</w:t>
            </w:r>
          </w:p>
        </w:tc>
        <w:tc>
          <w:tcPr>
            <w:tcW w:w="4230" w:type="dxa"/>
            <w:vAlign w:val="center"/>
          </w:tcPr>
          <w:p w:rsidR="00ED22F6" w:rsidRDefault="00ED22F6" w:rsidP="007B2966">
            <w:pPr>
              <w:spacing w:line="600" w:lineRule="exact"/>
              <w:jc w:val="center"/>
              <w:rPr>
                <w:rFonts w:ascii="仿宋" w:eastAsia="仿宋" w:hAnsi="仿宋" w:cs="仿宋" w:hint="eastAsia"/>
                <w:sz w:val="32"/>
                <w:szCs w:val="32"/>
              </w:rPr>
            </w:pPr>
            <w:r>
              <w:rPr>
                <w:rFonts w:ascii="仿宋" w:eastAsia="仿宋" w:hAnsi="仿宋" w:cs="仿宋" w:hint="eastAsia"/>
                <w:sz w:val="32"/>
                <w:szCs w:val="32"/>
              </w:rPr>
              <w:t>5亿以上（估算价，下同）</w:t>
            </w:r>
          </w:p>
        </w:tc>
        <w:tc>
          <w:tcPr>
            <w:tcW w:w="3198"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1.5分/项</w:t>
            </w:r>
          </w:p>
        </w:tc>
      </w:tr>
      <w:tr w:rsidR="00ED22F6" w:rsidTr="007B2966">
        <w:tc>
          <w:tcPr>
            <w:tcW w:w="1215"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3</w:t>
            </w:r>
          </w:p>
        </w:tc>
        <w:tc>
          <w:tcPr>
            <w:tcW w:w="4230"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1亿至5亿</w:t>
            </w:r>
          </w:p>
        </w:tc>
        <w:tc>
          <w:tcPr>
            <w:tcW w:w="3198"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1.3分/项</w:t>
            </w:r>
          </w:p>
        </w:tc>
      </w:tr>
      <w:tr w:rsidR="00ED22F6" w:rsidTr="007B2966">
        <w:tc>
          <w:tcPr>
            <w:tcW w:w="1215"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4</w:t>
            </w:r>
          </w:p>
        </w:tc>
        <w:tc>
          <w:tcPr>
            <w:tcW w:w="4230"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1亿以下</w:t>
            </w:r>
          </w:p>
        </w:tc>
        <w:tc>
          <w:tcPr>
            <w:tcW w:w="3198"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1分/项</w:t>
            </w:r>
          </w:p>
        </w:tc>
      </w:tr>
      <w:tr w:rsidR="00ED22F6" w:rsidTr="007B2966">
        <w:tc>
          <w:tcPr>
            <w:tcW w:w="1215"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5</w:t>
            </w:r>
          </w:p>
        </w:tc>
        <w:tc>
          <w:tcPr>
            <w:tcW w:w="4230"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接受检查且未违法违规</w:t>
            </w:r>
          </w:p>
        </w:tc>
        <w:tc>
          <w:tcPr>
            <w:tcW w:w="3198"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0.5分/项</w:t>
            </w:r>
          </w:p>
        </w:tc>
      </w:tr>
    </w:tbl>
    <w:p w:rsidR="00ED22F6" w:rsidRDefault="00ED22F6" w:rsidP="00ED22F6">
      <w:pPr>
        <w:spacing w:line="600" w:lineRule="exact"/>
        <w:ind w:firstLineChars="800" w:firstLine="2570"/>
        <w:rPr>
          <w:rFonts w:ascii="仿宋" w:eastAsia="仿宋" w:hAnsi="仿宋" w:cs="仿宋"/>
          <w:b/>
          <w:bCs/>
          <w:sz w:val="32"/>
          <w:szCs w:val="32"/>
        </w:rPr>
      </w:pPr>
      <w:r>
        <w:rPr>
          <w:rFonts w:ascii="仿宋" w:eastAsia="仿宋" w:hAnsi="仿宋" w:cs="仿宋" w:hint="eastAsia"/>
          <w:b/>
          <w:bCs/>
          <w:sz w:val="32"/>
          <w:szCs w:val="32"/>
        </w:rPr>
        <w:t>业务考核加分权重（表2）</w:t>
      </w:r>
    </w:p>
    <w:tbl>
      <w:tblPr>
        <w:tblStyle w:val="a9"/>
        <w:tblW w:w="0" w:type="auto"/>
        <w:tblInd w:w="303" w:type="dxa"/>
        <w:tblLook w:val="0000" w:firstRow="0" w:lastRow="0" w:firstColumn="0" w:lastColumn="0" w:noHBand="0" w:noVBand="0"/>
      </w:tblPr>
      <w:tblGrid>
        <w:gridCol w:w="1215"/>
        <w:gridCol w:w="4230"/>
        <w:gridCol w:w="3198"/>
      </w:tblGrid>
      <w:tr w:rsidR="00ED22F6" w:rsidTr="007B2966">
        <w:tc>
          <w:tcPr>
            <w:tcW w:w="1215"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序号</w:t>
            </w:r>
          </w:p>
        </w:tc>
        <w:tc>
          <w:tcPr>
            <w:tcW w:w="4230"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代理项目加分（分）</w:t>
            </w:r>
          </w:p>
        </w:tc>
        <w:tc>
          <w:tcPr>
            <w:tcW w:w="3198"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加分比例</w:t>
            </w:r>
          </w:p>
        </w:tc>
      </w:tr>
      <w:tr w:rsidR="00ED22F6" w:rsidTr="007B2966">
        <w:tc>
          <w:tcPr>
            <w:tcW w:w="1215"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1</w:t>
            </w:r>
          </w:p>
        </w:tc>
        <w:tc>
          <w:tcPr>
            <w:tcW w:w="4230"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0-10（含）</w:t>
            </w:r>
          </w:p>
        </w:tc>
        <w:tc>
          <w:tcPr>
            <w:tcW w:w="3198"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1.0</w:t>
            </w:r>
          </w:p>
        </w:tc>
      </w:tr>
      <w:tr w:rsidR="00ED22F6" w:rsidTr="007B2966">
        <w:tc>
          <w:tcPr>
            <w:tcW w:w="1215"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2</w:t>
            </w:r>
          </w:p>
        </w:tc>
        <w:tc>
          <w:tcPr>
            <w:tcW w:w="4230"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10-20（含）</w:t>
            </w:r>
          </w:p>
        </w:tc>
        <w:tc>
          <w:tcPr>
            <w:tcW w:w="3198"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0.7</w:t>
            </w:r>
          </w:p>
        </w:tc>
      </w:tr>
      <w:tr w:rsidR="00ED22F6" w:rsidTr="007B2966">
        <w:tc>
          <w:tcPr>
            <w:tcW w:w="1215"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3</w:t>
            </w:r>
          </w:p>
        </w:tc>
        <w:tc>
          <w:tcPr>
            <w:tcW w:w="4230"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20-30（含）</w:t>
            </w:r>
          </w:p>
        </w:tc>
        <w:tc>
          <w:tcPr>
            <w:tcW w:w="3198"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0.5</w:t>
            </w:r>
          </w:p>
        </w:tc>
      </w:tr>
      <w:tr w:rsidR="00ED22F6" w:rsidTr="007B2966">
        <w:tc>
          <w:tcPr>
            <w:tcW w:w="1215"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4</w:t>
            </w:r>
          </w:p>
        </w:tc>
        <w:tc>
          <w:tcPr>
            <w:tcW w:w="4230"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30以上</w:t>
            </w:r>
          </w:p>
        </w:tc>
        <w:tc>
          <w:tcPr>
            <w:tcW w:w="3198" w:type="dxa"/>
            <w:vAlign w:val="center"/>
          </w:tcPr>
          <w:p w:rsidR="00ED22F6" w:rsidRDefault="00ED22F6" w:rsidP="007B2966">
            <w:pPr>
              <w:spacing w:line="600" w:lineRule="exact"/>
              <w:jc w:val="center"/>
              <w:rPr>
                <w:rFonts w:ascii="仿宋" w:eastAsia="仿宋" w:hAnsi="仿宋" w:cs="仿宋"/>
                <w:sz w:val="32"/>
                <w:szCs w:val="32"/>
              </w:rPr>
            </w:pPr>
            <w:r>
              <w:rPr>
                <w:rFonts w:ascii="仿宋" w:eastAsia="仿宋" w:hAnsi="仿宋" w:cs="仿宋" w:hint="eastAsia"/>
                <w:sz w:val="32"/>
                <w:szCs w:val="32"/>
              </w:rPr>
              <w:t>0.2</w:t>
            </w:r>
          </w:p>
        </w:tc>
      </w:tr>
    </w:tbl>
    <w:p w:rsidR="00ED22F6" w:rsidRDefault="00ED22F6" w:rsidP="00ED22F6">
      <w:pPr>
        <w:pStyle w:val="a8"/>
        <w:widowControl/>
        <w:shd w:val="clear" w:color="auto" w:fill="FFFFFF"/>
        <w:spacing w:before="0" w:beforeAutospacing="0" w:after="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根据考评对象完成代理项目情况和表1的加分标准计算得出考评对象代理项目加分值。代理项目加分值与加分比例相乘进行阶梯计分后得出考评对象2022年业务考核加分。业务考核加分值直接计入综合考评总分。</w:t>
      </w:r>
    </w:p>
    <w:p w:rsidR="00ED22F6" w:rsidRDefault="00ED22F6" w:rsidP="00ED22F6">
      <w:pPr>
        <w:pStyle w:val="a8"/>
        <w:widowControl/>
        <w:shd w:val="clear" w:color="auto" w:fill="FFFFFF"/>
        <w:spacing w:before="0" w:beforeAutospacing="0" w:after="0" w:afterAutospacing="0" w:line="600" w:lineRule="exact"/>
        <w:ind w:firstLineChars="200" w:firstLine="640"/>
        <w:jc w:val="both"/>
        <w:rPr>
          <w:rFonts w:ascii="仿宋" w:eastAsia="仿宋" w:hAnsi="仿宋" w:cs="仿宋"/>
          <w:kern w:val="2"/>
          <w:sz w:val="32"/>
          <w:szCs w:val="32"/>
        </w:rPr>
      </w:pPr>
      <w:r>
        <w:rPr>
          <w:rFonts w:ascii="仿宋" w:eastAsia="仿宋" w:hAnsi="仿宋" w:cs="仿宋" w:hint="eastAsia"/>
          <w:sz w:val="32"/>
          <w:szCs w:val="32"/>
        </w:rPr>
        <w:lastRenderedPageBreak/>
        <w:t>其中，加分项目必须由考评对象完成，以实际在岗履职的代理项目负责人和一级注册造价工程师为据，否则不予认可。项目数量以立项批文为准（可含基本条件评价时所用项</w:t>
      </w:r>
      <w:r>
        <w:rPr>
          <w:rFonts w:ascii="仿宋" w:eastAsia="仿宋" w:hAnsi="仿宋" w:cs="仿宋" w:hint="eastAsia"/>
          <w:kern w:val="2"/>
          <w:sz w:val="32"/>
          <w:szCs w:val="32"/>
        </w:rPr>
        <w:t>目），一个项目拆分为多个标段并由同一家代理机构代理的不重复加分；一个项目拆分为多个标段由不同机构代理的，均予以认可；</w:t>
      </w:r>
      <w:r>
        <w:rPr>
          <w:rFonts w:ascii="仿宋" w:eastAsia="仿宋" w:hAnsi="仿宋" w:cs="仿宋" w:hint="eastAsia"/>
          <w:sz w:val="32"/>
          <w:szCs w:val="32"/>
        </w:rPr>
        <w:t>项目完成时间以完成书面情况报告时间为准。特殊情况确需认定的，由考评对象书面申请，市建设工程招标办组织考评专家集体研究认定。</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第七条 考评对象人员参加省市建设工程招投标监管部门或协会组织的业务培训的，每人次加0.2分，最高加2分。</w:t>
      </w:r>
    </w:p>
    <w:p w:rsidR="00ED22F6" w:rsidRDefault="00ED22F6" w:rsidP="00ED22F6">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第八条 考评对象人员参加省建设工程招投标业务考试，成绩合格人数在5人（含）以内的，每人次加0.2分，成绩合格人数超过5人的，每超一人加0.3分，最高加3分。</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第九条 考评对象举办招投标业务讲座、担任业务培训主讲、参与行业主管部门组织的监督检查活动，市级每人次加1分，省级及以上每人次加1.5分，最高加2分。</w:t>
      </w:r>
    </w:p>
    <w:p w:rsidR="00ED22F6" w:rsidRDefault="00ED22F6" w:rsidP="00ED22F6">
      <w:pPr>
        <w:spacing w:line="600" w:lineRule="exact"/>
        <w:jc w:val="center"/>
        <w:rPr>
          <w:rFonts w:ascii="仿宋" w:eastAsia="仿宋" w:hAnsi="仿宋" w:cs="仿宋"/>
          <w:b/>
          <w:bCs/>
          <w:sz w:val="32"/>
          <w:szCs w:val="32"/>
        </w:rPr>
      </w:pPr>
      <w:r>
        <w:rPr>
          <w:rFonts w:ascii="仿宋" w:eastAsia="仿宋" w:hAnsi="仿宋" w:cs="仿宋" w:hint="eastAsia"/>
          <w:b/>
          <w:bCs/>
          <w:sz w:val="32"/>
          <w:szCs w:val="32"/>
        </w:rPr>
        <w:t>第三章 减分</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第十条 考评对象代理项目负责人在招标文件备案、开评标和争议处理过程无正当理由未到岗履职，或虽到岗，但经监管人员问询对相关业务不了解的，每人次减0.5分。</w:t>
      </w:r>
    </w:p>
    <w:p w:rsidR="00ED22F6" w:rsidRDefault="00ED22F6" w:rsidP="00ED22F6">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代理合同中载明负责招标文件（招标公告）编制（发布）的代理项目组人员，经监管人员问询对相关业务不了解的，每</w:t>
      </w:r>
      <w:r>
        <w:rPr>
          <w:rFonts w:ascii="仿宋" w:eastAsia="仿宋" w:hAnsi="仿宋" w:cs="仿宋" w:hint="eastAsia"/>
          <w:sz w:val="32"/>
          <w:szCs w:val="32"/>
        </w:rPr>
        <w:lastRenderedPageBreak/>
        <w:t>人次减0.5分。</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考评对象人员报名参与省市监管部门组织的业务知识考试后，无故不参与考试的，每人次减0.2分；省市监管部门组织的监督执法检查中发现违法违规行为，经督促仍未限期整改到位的，每项次减0.5分。</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第十一条 考评对象代理的项目产生投诉，经监管部门处理认定投诉成立且属考评对象责任的，每项次视情节严重程度减3-5分。</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考评对象代理的项目产生越级信访或网络媒体曝光事件，经监管部门</w:t>
      </w:r>
      <w:proofErr w:type="gramStart"/>
      <w:r>
        <w:rPr>
          <w:rFonts w:ascii="仿宋" w:eastAsia="仿宋" w:hAnsi="仿宋" w:cs="仿宋" w:hint="eastAsia"/>
          <w:sz w:val="32"/>
          <w:szCs w:val="32"/>
        </w:rPr>
        <w:t>核实因</w:t>
      </w:r>
      <w:proofErr w:type="gramEnd"/>
      <w:r>
        <w:rPr>
          <w:rFonts w:ascii="仿宋" w:eastAsia="仿宋" w:hAnsi="仿宋" w:cs="仿宋" w:hint="eastAsia"/>
          <w:sz w:val="32"/>
          <w:szCs w:val="32"/>
        </w:rPr>
        <w:t>考评对象原因导致的，每项次视情节严重程度减3-5分。</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第十二条 考评对象对监管部门依法开展的监督执法工作有抵触、抗拒、逃避或其它不配合行为的，视情节严重程度减1-3分。</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第十三条 考评对象相关人员明知或应当知道监管部门将开展与其有关的监督执法工作，仍发生下列情形之一的，可按第十二条规定处理：</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（一）工作时间拨打其电话（手机）2次以上，均为关机或无法接通，事后又无法给出合理解释的；</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（二）约定谈话的时间、地点、人员或送达资料的具体要求后，无故爽约的；</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（三）对监管部门发出的监督文书无故不予接收的；</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（四）对监管部门书面问询的事项不予正面答复或不在规定时间内答复的；</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（五）相关人员因种种原因无法配合监督执法，又不及时安排其它了解情况的人员配合工作的；</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（六）有其它依法依规应当配合而不配合行为的。</w:t>
      </w:r>
    </w:p>
    <w:p w:rsidR="00ED22F6" w:rsidRDefault="00ED22F6" w:rsidP="00ED22F6">
      <w:pPr>
        <w:spacing w:line="600" w:lineRule="exact"/>
        <w:jc w:val="center"/>
        <w:rPr>
          <w:rFonts w:ascii="仿宋" w:eastAsia="仿宋" w:hAnsi="仿宋" w:cs="仿宋"/>
          <w:b/>
          <w:bCs/>
          <w:sz w:val="32"/>
          <w:szCs w:val="32"/>
        </w:rPr>
      </w:pPr>
      <w:r>
        <w:rPr>
          <w:rFonts w:ascii="仿宋" w:eastAsia="仿宋" w:hAnsi="仿宋" w:cs="仿宋" w:hint="eastAsia"/>
          <w:b/>
          <w:bCs/>
          <w:sz w:val="32"/>
          <w:szCs w:val="32"/>
        </w:rPr>
        <w:t>第四章 惩戒</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第十四条 考评对象被查实有严重招投标违法违规行为或恶意对抗监管情形的，除依法依规处理外，该计分周期实际经营行为考评分值的加分总数直接清零。</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考评对象被惩戒导致加分清零的，其减分不受影响。</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第十五条 下列情形属于第十四条规定的严重招投标违法违规行为：</w:t>
      </w:r>
      <w:r>
        <w:rPr>
          <w:rFonts w:ascii="仿宋" w:eastAsia="仿宋" w:hAnsi="仿宋" w:cs="仿宋" w:hint="eastAsia"/>
          <w:sz w:val="32"/>
          <w:szCs w:val="32"/>
        </w:rPr>
        <w:br/>
        <w:t xml:space="preserve">    （一）考评所提供资料、信息、数据弄虚作假的；</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（二）考评对象或其代理项目组主要人员</w:t>
      </w:r>
      <w:proofErr w:type="gramStart"/>
      <w:r>
        <w:rPr>
          <w:rFonts w:ascii="仿宋" w:eastAsia="仿宋" w:hAnsi="仿宋" w:cs="仿宋" w:hint="eastAsia"/>
          <w:sz w:val="32"/>
          <w:szCs w:val="32"/>
        </w:rPr>
        <w:t>发生省</w:t>
      </w:r>
      <w:proofErr w:type="gramEnd"/>
      <w:r>
        <w:rPr>
          <w:rFonts w:ascii="仿宋" w:eastAsia="仿宋" w:hAnsi="仿宋" w:cs="仿宋" w:hint="eastAsia"/>
          <w:sz w:val="32"/>
          <w:szCs w:val="32"/>
        </w:rPr>
        <w:t>动态考评办法规定的“严重失信行为”的；</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（三）依据《中华人民共和国招标投标法》《中华人民共和国招标投标法实施条例》和《江苏省招标投标条例》，考评对象或其代理项目组主要人员应当被给予行政处罚的；</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（四）考评对象法定代表人或实际主要负责人因发生招投标违法行为被追究刑事责任的；</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（五）其它依法依规应当认定为严重违法违规行为的。</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第十六条 下列情形属于第十四条规定的恶意对抗监管：</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（一）因不满监管部门依法开展的监督执法，对监管人员进行辱骂、威胁、殴打、诬告的；</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（二）对监管部门的监督执法过程或结果持不同意见，但不通过正常渠道表达诉求，而是组织、串联、鼓动相关主体、人员集聚滋事或向媒体发布不实信息的；</w:t>
      </w:r>
    </w:p>
    <w:p w:rsidR="00ED22F6" w:rsidRDefault="00ED22F6" w:rsidP="00ED22F6">
      <w:pPr>
        <w:spacing w:line="600" w:lineRule="exact"/>
        <w:ind w:firstLine="640"/>
        <w:rPr>
          <w:rFonts w:ascii="仿宋" w:eastAsia="仿宋" w:hAnsi="仿宋" w:cs="仿宋"/>
          <w:sz w:val="32"/>
          <w:szCs w:val="32"/>
        </w:rPr>
      </w:pPr>
      <w:r>
        <w:rPr>
          <w:rFonts w:ascii="仿宋" w:eastAsia="仿宋" w:hAnsi="仿宋" w:cs="仿宋" w:hint="eastAsia"/>
          <w:sz w:val="32"/>
          <w:szCs w:val="32"/>
        </w:rPr>
        <w:t>（三）无正当理由对行政部门依法发出的《行政监督意见书》或《投诉处理决定书》不予执行，经督促仍不改正的；</w:t>
      </w:r>
    </w:p>
    <w:p w:rsidR="00ED22F6" w:rsidRDefault="00ED22F6" w:rsidP="00ED22F6">
      <w:pPr>
        <w:spacing w:line="600" w:lineRule="exact"/>
        <w:ind w:firstLine="640"/>
        <w:rPr>
          <w:rFonts w:ascii="仿宋" w:eastAsia="仿宋" w:hAnsi="仿宋" w:cs="仿宋"/>
          <w:sz w:val="32"/>
          <w:szCs w:val="32"/>
        </w:rPr>
      </w:pPr>
      <w:r>
        <w:rPr>
          <w:rFonts w:ascii="仿宋" w:eastAsia="仿宋" w:hAnsi="仿宋" w:cs="仿宋" w:hint="eastAsia"/>
          <w:sz w:val="32"/>
          <w:szCs w:val="32"/>
        </w:rPr>
        <w:t>（四）其它依法依规可以认定为恶意对抗监管情形。</w:t>
      </w:r>
    </w:p>
    <w:p w:rsidR="00ED22F6" w:rsidRDefault="00ED22F6" w:rsidP="00ED22F6">
      <w:pPr>
        <w:spacing w:line="600" w:lineRule="exact"/>
        <w:jc w:val="center"/>
        <w:rPr>
          <w:rFonts w:ascii="仿宋" w:eastAsia="仿宋" w:hAnsi="仿宋" w:cs="仿宋"/>
          <w:b/>
          <w:bCs/>
          <w:sz w:val="32"/>
          <w:szCs w:val="32"/>
        </w:rPr>
      </w:pPr>
      <w:r>
        <w:rPr>
          <w:rFonts w:ascii="仿宋" w:eastAsia="仿宋" w:hAnsi="仿宋" w:cs="仿宋" w:hint="eastAsia"/>
          <w:b/>
          <w:bCs/>
          <w:sz w:val="32"/>
          <w:szCs w:val="32"/>
        </w:rPr>
        <w:t>第五章 附则</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第十七条 本细则中“以上”、“以内”等均包含本数。</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第十八条 考评对象违法</w:t>
      </w:r>
      <w:proofErr w:type="gramStart"/>
      <w:r>
        <w:rPr>
          <w:rFonts w:ascii="仿宋" w:eastAsia="仿宋" w:hAnsi="仿宋" w:cs="仿宋" w:hint="eastAsia"/>
          <w:sz w:val="32"/>
          <w:szCs w:val="32"/>
        </w:rPr>
        <w:t>违规且依据</w:t>
      </w:r>
      <w:proofErr w:type="gramEnd"/>
      <w:r>
        <w:rPr>
          <w:rFonts w:ascii="仿宋" w:eastAsia="仿宋" w:hAnsi="仿宋" w:cs="仿宋" w:hint="eastAsia"/>
          <w:sz w:val="32"/>
          <w:szCs w:val="32"/>
        </w:rPr>
        <w:t>本细则应予以减分或惩戒的，依法依规</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的处理不影响对其施以综合考评减分或惩戒。反之亦然。</w:t>
      </w:r>
    </w:p>
    <w:p w:rsidR="00ED22F6" w:rsidRDefault="00ED22F6" w:rsidP="00ED22F6">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第十九条 本细则规定的监督检查可适用分类监管，可以按照苏建</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字〔2017〕1号文件等规定采取“双随机</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公开”的方式进行事中事后检查，检查结果可作为考核评价的根据。</w:t>
      </w:r>
    </w:p>
    <w:p w:rsidR="00ED22F6" w:rsidRDefault="00ED22F6" w:rsidP="00ED22F6">
      <w:pPr>
        <w:ind w:right="640"/>
        <w:rPr>
          <w:rFonts w:ascii="仿宋_GB2312" w:eastAsia="仿宋_GB2312"/>
          <w:sz w:val="32"/>
          <w:szCs w:val="32"/>
        </w:rPr>
      </w:pPr>
    </w:p>
    <w:p w:rsidR="00ED22F6" w:rsidRDefault="00ED22F6" w:rsidP="00ED22F6">
      <w:pPr>
        <w:spacing w:line="600" w:lineRule="exact"/>
        <w:ind w:firstLineChars="200" w:firstLine="640"/>
        <w:rPr>
          <w:rFonts w:ascii="仿宋" w:eastAsia="仿宋" w:hAnsi="仿宋" w:cs="仿宋"/>
          <w:sz w:val="32"/>
          <w:szCs w:val="32"/>
        </w:rPr>
      </w:pPr>
    </w:p>
    <w:p w:rsidR="00ED22F6" w:rsidRDefault="00ED22F6" w:rsidP="00ED22F6">
      <w:pPr>
        <w:spacing w:line="600" w:lineRule="exact"/>
        <w:ind w:firstLineChars="200" w:firstLine="640"/>
        <w:rPr>
          <w:rFonts w:ascii="仿宋" w:eastAsia="仿宋" w:hAnsi="仿宋" w:cs="仿宋"/>
          <w:sz w:val="32"/>
          <w:szCs w:val="32"/>
        </w:rPr>
      </w:pPr>
    </w:p>
    <w:p w:rsidR="00ED22F6" w:rsidRDefault="00ED22F6" w:rsidP="00ED22F6">
      <w:pPr>
        <w:spacing w:line="600" w:lineRule="exact"/>
        <w:ind w:firstLineChars="200" w:firstLine="640"/>
        <w:rPr>
          <w:rFonts w:ascii="仿宋" w:eastAsia="仿宋" w:hAnsi="仿宋" w:cs="仿宋"/>
          <w:sz w:val="32"/>
          <w:szCs w:val="32"/>
        </w:rPr>
      </w:pPr>
    </w:p>
    <w:p w:rsidR="00ED22F6" w:rsidRDefault="00ED22F6" w:rsidP="00ED22F6">
      <w:pPr>
        <w:spacing w:line="600" w:lineRule="exact"/>
        <w:ind w:firstLineChars="200" w:firstLine="640"/>
        <w:rPr>
          <w:rFonts w:ascii="仿宋" w:eastAsia="仿宋" w:hAnsi="仿宋" w:cs="仿宋"/>
          <w:sz w:val="32"/>
          <w:szCs w:val="32"/>
        </w:rPr>
      </w:pPr>
    </w:p>
    <w:p w:rsidR="00ED22F6" w:rsidRDefault="00ED22F6" w:rsidP="00ED22F6">
      <w:pPr>
        <w:spacing w:line="600" w:lineRule="exact"/>
        <w:ind w:firstLineChars="200" w:firstLine="640"/>
        <w:rPr>
          <w:rFonts w:ascii="仿宋" w:eastAsia="仿宋" w:hAnsi="仿宋" w:cs="仿宋"/>
          <w:sz w:val="32"/>
          <w:szCs w:val="32"/>
        </w:rPr>
      </w:pPr>
    </w:p>
    <w:p w:rsidR="00ED22F6" w:rsidRDefault="00ED22F6" w:rsidP="00ED22F6">
      <w:pPr>
        <w:spacing w:line="600" w:lineRule="exact"/>
        <w:rPr>
          <w:rFonts w:ascii="方正黑体_GBK" w:eastAsia="方正黑体_GBK" w:hAnsi="仿宋" w:cs="仿宋" w:hint="eastAsia"/>
          <w:sz w:val="32"/>
          <w:szCs w:val="32"/>
        </w:rPr>
      </w:pPr>
      <w:r w:rsidRPr="007E77CD">
        <w:rPr>
          <w:rFonts w:ascii="方正黑体_GBK" w:eastAsia="方正黑体_GBK" w:hAnsi="仿宋" w:cs="仿宋" w:hint="eastAsia"/>
          <w:sz w:val="32"/>
          <w:szCs w:val="32"/>
        </w:rPr>
        <w:lastRenderedPageBreak/>
        <w:t>附件3</w:t>
      </w:r>
    </w:p>
    <w:p w:rsidR="00ED22F6" w:rsidRPr="007E77CD" w:rsidRDefault="00ED22F6" w:rsidP="00ED22F6">
      <w:pPr>
        <w:spacing w:line="600" w:lineRule="exact"/>
        <w:rPr>
          <w:rFonts w:ascii="方正黑体_GBK" w:eastAsia="方正黑体_GBK" w:hAnsi="仿宋" w:cs="仿宋" w:hint="eastAsia"/>
          <w:sz w:val="32"/>
          <w:szCs w:val="32"/>
        </w:rPr>
      </w:pPr>
    </w:p>
    <w:p w:rsidR="00ED22F6" w:rsidRDefault="00ED22F6" w:rsidP="00ED22F6">
      <w:pPr>
        <w:spacing w:line="600" w:lineRule="exact"/>
        <w:jc w:val="center"/>
        <w:rPr>
          <w:rFonts w:ascii="方正小标宋简体" w:eastAsia="方正小标宋简体" w:hAnsi="仿宋" w:cs="仿宋"/>
          <w:sz w:val="44"/>
          <w:szCs w:val="44"/>
        </w:rPr>
      </w:pPr>
      <w:r>
        <w:rPr>
          <w:rFonts w:ascii="方正小标宋简体" w:eastAsia="方正小标宋简体" w:hAnsi="仿宋" w:cs="仿宋" w:hint="eastAsia"/>
          <w:sz w:val="44"/>
          <w:szCs w:val="44"/>
        </w:rPr>
        <w:t>其他综合表现情况计分细则</w:t>
      </w:r>
    </w:p>
    <w:p w:rsidR="00ED22F6" w:rsidRDefault="00ED22F6" w:rsidP="00ED22F6">
      <w:pPr>
        <w:pStyle w:val="a8"/>
        <w:widowControl/>
        <w:shd w:val="clear" w:color="auto" w:fill="FFFFFF"/>
        <w:spacing w:beforeLines="100" w:before="312" w:beforeAutospacing="0" w:after="0"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本项评价内容包括代理机构的党建工作、行业信用评价情况、行业自律评价、社会责任履行和公益慈善情况、响应主管部门或行业协会组织的活动情况、参与行业共建以及其他与招投标行业建设有关的活动、荣誉和贡献等，具体计分方法如下：</w:t>
      </w:r>
    </w:p>
    <w:p w:rsidR="00ED22F6" w:rsidRDefault="00ED22F6" w:rsidP="00ED22F6">
      <w:pPr>
        <w:ind w:firstLineChars="200" w:firstLine="640"/>
        <w:rPr>
          <w:rFonts w:ascii="仿宋" w:eastAsia="仿宋" w:hAnsi="仿宋" w:cs="仿宋"/>
          <w:kern w:val="0"/>
          <w:sz w:val="32"/>
          <w:szCs w:val="32"/>
        </w:rPr>
      </w:pPr>
      <w:r>
        <w:rPr>
          <w:rFonts w:ascii="仿宋" w:eastAsia="仿宋" w:hAnsi="仿宋" w:cs="仿宋" w:hint="eastAsia"/>
          <w:sz w:val="32"/>
          <w:szCs w:val="32"/>
        </w:rPr>
        <w:t>第一条 考评对象积极</w:t>
      </w:r>
      <w:r>
        <w:rPr>
          <w:rFonts w:ascii="仿宋" w:eastAsia="仿宋" w:hAnsi="仿宋" w:cs="仿宋" w:hint="eastAsia"/>
          <w:kern w:val="0"/>
          <w:sz w:val="32"/>
          <w:szCs w:val="32"/>
        </w:rPr>
        <w:t>参与省招标代理信用评价，获评“AAA”等级的加2分，“AA”等级的加1.5分，“A”等级的加1分，参加省信用评价但未获评等级的加0.5分。</w:t>
      </w:r>
    </w:p>
    <w:p w:rsidR="00ED22F6" w:rsidRDefault="00ED22F6" w:rsidP="00ED22F6">
      <w:pPr>
        <w:ind w:firstLineChars="200" w:firstLine="640"/>
        <w:rPr>
          <w:rFonts w:ascii="仿宋" w:eastAsia="仿宋" w:hAnsi="仿宋" w:cs="仿宋"/>
          <w:sz w:val="32"/>
          <w:szCs w:val="32"/>
        </w:rPr>
      </w:pPr>
      <w:r>
        <w:rPr>
          <w:rFonts w:ascii="仿宋" w:eastAsia="仿宋" w:hAnsi="仿宋" w:cs="仿宋" w:hint="eastAsia"/>
          <w:sz w:val="32"/>
          <w:szCs w:val="32"/>
        </w:rPr>
        <w:t>第二条 考评对象设有党组织（含联合党支部等）</w:t>
      </w:r>
      <w:proofErr w:type="gramStart"/>
      <w:r>
        <w:rPr>
          <w:rFonts w:ascii="仿宋" w:eastAsia="仿宋" w:hAnsi="仿宋" w:cs="仿宋" w:hint="eastAsia"/>
          <w:sz w:val="32"/>
          <w:szCs w:val="32"/>
        </w:rPr>
        <w:t>且正常</w:t>
      </w:r>
      <w:proofErr w:type="gramEnd"/>
      <w:r>
        <w:rPr>
          <w:rFonts w:ascii="仿宋" w:eastAsia="仿宋" w:hAnsi="仿宋" w:cs="仿宋" w:hint="eastAsia"/>
          <w:sz w:val="32"/>
          <w:szCs w:val="32"/>
        </w:rPr>
        <w:t>开展党内活动的，加1分。</w:t>
      </w:r>
    </w:p>
    <w:p w:rsidR="00ED22F6" w:rsidRDefault="00ED22F6" w:rsidP="00ED22F6">
      <w:pPr>
        <w:ind w:firstLineChars="200" w:firstLine="640"/>
        <w:rPr>
          <w:rFonts w:ascii="仿宋" w:eastAsia="仿宋" w:hAnsi="仿宋" w:cs="仿宋"/>
          <w:sz w:val="32"/>
          <w:szCs w:val="32"/>
        </w:rPr>
      </w:pPr>
      <w:r>
        <w:rPr>
          <w:rFonts w:ascii="仿宋" w:eastAsia="仿宋" w:hAnsi="仿宋" w:cs="仿宋" w:hint="eastAsia"/>
          <w:sz w:val="32"/>
          <w:szCs w:val="32"/>
        </w:rPr>
        <w:t>第三条 鼓励考评对象积极参与行业共建。我市招标投标协会会员单位加1分；因招标代理从业表现良好受到我市及省级以上建设行政主管部门或招投标监管部门表彰表扬的，个人每项次加1分，最高加2分，单位每项次1.5分，最高加3分；市级及以上招投标协会表彰的，按行政主管部门的70%权重计取加分。</w:t>
      </w:r>
    </w:p>
    <w:p w:rsidR="00ED22F6" w:rsidRDefault="00ED22F6" w:rsidP="00ED22F6">
      <w:pPr>
        <w:ind w:right="33" w:firstLineChars="150" w:firstLine="480"/>
        <w:rPr>
          <w:rFonts w:ascii="仿宋" w:eastAsia="仿宋" w:hAnsi="仿宋" w:cs="仿宋" w:hint="eastAsia"/>
          <w:sz w:val="32"/>
          <w:szCs w:val="32"/>
        </w:rPr>
      </w:pPr>
      <w:r>
        <w:rPr>
          <w:rFonts w:ascii="仿宋" w:eastAsia="仿宋" w:hAnsi="仿宋" w:cs="仿宋" w:hint="eastAsia"/>
          <w:sz w:val="32"/>
          <w:szCs w:val="32"/>
        </w:rPr>
        <w:t>第四条 考评对象承办我市</w:t>
      </w:r>
      <w:proofErr w:type="gramStart"/>
      <w:r>
        <w:rPr>
          <w:rFonts w:ascii="仿宋" w:eastAsia="仿宋" w:hAnsi="仿宋" w:cs="仿宋" w:hint="eastAsia"/>
          <w:sz w:val="32"/>
          <w:szCs w:val="32"/>
        </w:rPr>
        <w:t>全市性招投标</w:t>
      </w:r>
      <w:proofErr w:type="gramEnd"/>
      <w:r>
        <w:rPr>
          <w:rFonts w:ascii="仿宋" w:eastAsia="仿宋" w:hAnsi="仿宋" w:cs="仿宋" w:hint="eastAsia"/>
          <w:sz w:val="32"/>
          <w:szCs w:val="32"/>
        </w:rPr>
        <w:t>行业活动的，每次加2分，最高加4分；参与行业主管部门或市招标投标协会组织的公益捐赠活动，每次加0.5分，最高得1分。</w:t>
      </w:r>
    </w:p>
    <w:p w:rsidR="00ED22F6" w:rsidRDefault="00ED22F6" w:rsidP="00ED22F6">
      <w:pPr>
        <w:ind w:firstLineChars="150" w:firstLine="480"/>
        <w:rPr>
          <w:rFonts w:ascii="仿宋" w:eastAsia="仿宋" w:hAnsi="仿宋" w:cs="仿宋"/>
          <w:b/>
          <w:bCs/>
          <w:sz w:val="32"/>
          <w:szCs w:val="32"/>
        </w:rPr>
      </w:pPr>
      <w:r>
        <w:rPr>
          <w:rFonts w:ascii="仿宋" w:eastAsia="仿宋" w:hAnsi="仿宋" w:cs="仿宋" w:hint="eastAsia"/>
          <w:sz w:val="32"/>
          <w:szCs w:val="32"/>
        </w:rPr>
        <w:lastRenderedPageBreak/>
        <w:t>第五条 考评对象对我市招投标市场健康规范发展或招投标监管机制提出建议并被采纳的，每条加0.3分，最高加1.5分。</w:t>
      </w:r>
    </w:p>
    <w:p w:rsidR="00746816" w:rsidRPr="00ED22F6" w:rsidRDefault="00746816" w:rsidP="00746816">
      <w:pPr>
        <w:ind w:right="640"/>
        <w:rPr>
          <w:rFonts w:ascii="仿宋_GB2312" w:eastAsia="仿宋_GB2312"/>
          <w:sz w:val="32"/>
          <w:szCs w:val="32"/>
        </w:rPr>
      </w:pPr>
    </w:p>
    <w:p w:rsidR="00746816" w:rsidRDefault="00746816" w:rsidP="00746816">
      <w:pPr>
        <w:ind w:right="640"/>
        <w:rPr>
          <w:rFonts w:ascii="仿宋_GB2312" w:eastAsia="仿宋_GB2312" w:hint="eastAsia"/>
          <w:sz w:val="32"/>
          <w:szCs w:val="32"/>
        </w:rPr>
      </w:pPr>
    </w:p>
    <w:p w:rsidR="00ED22F6" w:rsidRDefault="00ED22F6" w:rsidP="00746816">
      <w:pPr>
        <w:ind w:right="640"/>
        <w:rPr>
          <w:rFonts w:ascii="仿宋_GB2312" w:eastAsia="仿宋_GB2312" w:hint="eastAsia"/>
          <w:sz w:val="32"/>
          <w:szCs w:val="32"/>
        </w:rPr>
      </w:pPr>
    </w:p>
    <w:p w:rsidR="00ED22F6" w:rsidRDefault="00ED22F6" w:rsidP="00746816">
      <w:pPr>
        <w:ind w:right="640"/>
        <w:rPr>
          <w:rFonts w:ascii="仿宋_GB2312" w:eastAsia="仿宋_GB2312" w:hint="eastAsia"/>
          <w:sz w:val="32"/>
          <w:szCs w:val="32"/>
        </w:rPr>
      </w:pPr>
    </w:p>
    <w:p w:rsidR="00ED22F6" w:rsidRDefault="00ED22F6" w:rsidP="00746816">
      <w:pPr>
        <w:ind w:right="640"/>
        <w:rPr>
          <w:rFonts w:ascii="仿宋_GB2312" w:eastAsia="仿宋_GB2312" w:hint="eastAsia"/>
          <w:sz w:val="32"/>
          <w:szCs w:val="32"/>
        </w:rPr>
      </w:pPr>
    </w:p>
    <w:p w:rsidR="00ED22F6" w:rsidRDefault="00ED22F6" w:rsidP="00746816">
      <w:pPr>
        <w:ind w:right="640"/>
        <w:rPr>
          <w:rFonts w:ascii="仿宋_GB2312" w:eastAsia="仿宋_GB2312" w:hint="eastAsia"/>
          <w:sz w:val="32"/>
          <w:szCs w:val="32"/>
        </w:rPr>
      </w:pPr>
    </w:p>
    <w:p w:rsidR="00ED22F6" w:rsidRDefault="00ED22F6" w:rsidP="00746816">
      <w:pPr>
        <w:ind w:right="640"/>
        <w:rPr>
          <w:rFonts w:ascii="仿宋_GB2312" w:eastAsia="仿宋_GB2312" w:hint="eastAsia"/>
          <w:sz w:val="32"/>
          <w:szCs w:val="32"/>
        </w:rPr>
      </w:pPr>
    </w:p>
    <w:p w:rsidR="00ED22F6" w:rsidRDefault="00ED22F6" w:rsidP="00746816">
      <w:pPr>
        <w:ind w:right="640"/>
        <w:rPr>
          <w:rFonts w:ascii="仿宋_GB2312" w:eastAsia="仿宋_GB2312" w:hint="eastAsia"/>
          <w:sz w:val="32"/>
          <w:szCs w:val="32"/>
        </w:rPr>
      </w:pPr>
    </w:p>
    <w:p w:rsidR="00ED22F6" w:rsidRDefault="00ED22F6" w:rsidP="00746816">
      <w:pPr>
        <w:ind w:right="640"/>
        <w:rPr>
          <w:rFonts w:ascii="仿宋_GB2312" w:eastAsia="仿宋_GB2312" w:hint="eastAsia"/>
          <w:sz w:val="32"/>
          <w:szCs w:val="32"/>
        </w:rPr>
      </w:pPr>
    </w:p>
    <w:p w:rsidR="00ED22F6" w:rsidRDefault="00ED22F6" w:rsidP="00746816">
      <w:pPr>
        <w:ind w:right="640"/>
        <w:rPr>
          <w:rFonts w:ascii="仿宋_GB2312" w:eastAsia="仿宋_GB2312" w:hint="eastAsia"/>
          <w:sz w:val="32"/>
          <w:szCs w:val="32"/>
        </w:rPr>
      </w:pPr>
    </w:p>
    <w:p w:rsidR="00ED22F6" w:rsidRDefault="00ED22F6" w:rsidP="00746816">
      <w:pPr>
        <w:ind w:right="640"/>
        <w:rPr>
          <w:rFonts w:ascii="仿宋_GB2312" w:eastAsia="仿宋_GB2312" w:hint="eastAsia"/>
          <w:sz w:val="32"/>
          <w:szCs w:val="32"/>
        </w:rPr>
      </w:pPr>
    </w:p>
    <w:p w:rsidR="00ED22F6" w:rsidRDefault="00ED22F6" w:rsidP="00746816">
      <w:pPr>
        <w:ind w:right="640"/>
        <w:rPr>
          <w:rFonts w:ascii="仿宋_GB2312" w:eastAsia="仿宋_GB2312" w:hint="eastAsia"/>
          <w:sz w:val="32"/>
          <w:szCs w:val="32"/>
        </w:rPr>
      </w:pPr>
    </w:p>
    <w:p w:rsidR="00ED22F6" w:rsidRDefault="00ED22F6" w:rsidP="00746816">
      <w:pPr>
        <w:ind w:right="640"/>
        <w:rPr>
          <w:rFonts w:ascii="仿宋_GB2312" w:eastAsia="仿宋_GB2312" w:hint="eastAsia"/>
          <w:sz w:val="32"/>
          <w:szCs w:val="32"/>
        </w:rPr>
      </w:pPr>
    </w:p>
    <w:p w:rsidR="00ED22F6" w:rsidRDefault="00ED22F6" w:rsidP="00746816">
      <w:pPr>
        <w:ind w:right="640"/>
        <w:rPr>
          <w:rFonts w:ascii="仿宋_GB2312" w:eastAsia="仿宋_GB2312" w:hint="eastAsia"/>
          <w:sz w:val="32"/>
          <w:szCs w:val="32"/>
        </w:rPr>
      </w:pPr>
    </w:p>
    <w:p w:rsidR="00ED22F6" w:rsidRDefault="00ED22F6" w:rsidP="00746816">
      <w:pPr>
        <w:ind w:right="640"/>
        <w:rPr>
          <w:rFonts w:ascii="仿宋_GB2312" w:eastAsia="仿宋_GB2312" w:hint="eastAsia"/>
          <w:sz w:val="32"/>
          <w:szCs w:val="32"/>
        </w:rPr>
      </w:pPr>
    </w:p>
    <w:p w:rsidR="00ED22F6" w:rsidRDefault="00ED22F6" w:rsidP="00746816">
      <w:pPr>
        <w:ind w:right="640"/>
        <w:rPr>
          <w:rFonts w:ascii="仿宋_GB2312" w:eastAsia="仿宋_GB2312" w:hint="eastAsia"/>
          <w:sz w:val="32"/>
          <w:szCs w:val="32"/>
        </w:rPr>
      </w:pPr>
    </w:p>
    <w:p w:rsidR="00ED22F6" w:rsidRPr="006C1311" w:rsidRDefault="00ED22F6" w:rsidP="00746816">
      <w:pPr>
        <w:ind w:right="640"/>
        <w:rPr>
          <w:rFonts w:ascii="仿宋_GB2312" w:eastAsia="仿宋_GB2312"/>
          <w:sz w:val="32"/>
          <w:szCs w:val="32"/>
        </w:rPr>
      </w:pPr>
    </w:p>
    <w:p w:rsidR="00746816" w:rsidRPr="006C1311" w:rsidRDefault="00746816" w:rsidP="00746816">
      <w:pPr>
        <w:ind w:right="640"/>
        <w:rPr>
          <w:rFonts w:ascii="仿宋_GB2312" w:eastAsia="仿宋_GB2312"/>
          <w:sz w:val="32"/>
          <w:szCs w:val="32"/>
        </w:rPr>
      </w:pPr>
    </w:p>
    <w:tbl>
      <w:tblPr>
        <w:tblStyle w:val="a9"/>
        <w:tblW w:w="8522" w:type="dxa"/>
        <w:tblBorders>
          <w:left w:val="none" w:sz="0" w:space="0" w:color="auto"/>
          <w:right w:val="none" w:sz="0" w:space="0" w:color="auto"/>
        </w:tblBorders>
        <w:tblLayout w:type="fixed"/>
        <w:tblLook w:val="04A0" w:firstRow="1" w:lastRow="0" w:firstColumn="1" w:lastColumn="0" w:noHBand="0" w:noVBand="1"/>
      </w:tblPr>
      <w:tblGrid>
        <w:gridCol w:w="8522"/>
      </w:tblGrid>
      <w:tr w:rsidR="00746816" w:rsidRPr="00AE61FF" w:rsidTr="00486063">
        <w:trPr>
          <w:trHeight w:val="590"/>
        </w:trPr>
        <w:tc>
          <w:tcPr>
            <w:tcW w:w="8522" w:type="dxa"/>
          </w:tcPr>
          <w:p w:rsidR="00746816" w:rsidRPr="00941D2B" w:rsidRDefault="00746816" w:rsidP="00ED22F6">
            <w:pPr>
              <w:tabs>
                <w:tab w:val="left" w:pos="5580"/>
                <w:tab w:val="left" w:pos="5940"/>
                <w:tab w:val="left" w:pos="6840"/>
                <w:tab w:val="left" w:pos="7020"/>
                <w:tab w:val="left" w:pos="7200"/>
              </w:tabs>
              <w:spacing w:line="500" w:lineRule="exact"/>
              <w:jc w:val="center"/>
              <w:rPr>
                <w:rFonts w:ascii="仿宋_GB2312" w:eastAsia="仿宋_GB2312"/>
                <w:sz w:val="28"/>
                <w:szCs w:val="28"/>
              </w:rPr>
            </w:pPr>
            <w:r w:rsidRPr="00941D2B">
              <w:rPr>
                <w:rFonts w:ascii="仿宋_GB2312" w:eastAsia="仿宋_GB2312" w:hint="eastAsia"/>
                <w:sz w:val="28"/>
                <w:szCs w:val="28"/>
              </w:rPr>
              <w:t>连云港市建设工程招标投标管理办公室</w:t>
            </w:r>
            <w:r>
              <w:rPr>
                <w:rFonts w:ascii="仿宋_GB2312" w:eastAsia="仿宋_GB2312" w:hint="eastAsia"/>
                <w:sz w:val="28"/>
                <w:szCs w:val="28"/>
              </w:rPr>
              <w:t xml:space="preserve">  </w:t>
            </w:r>
            <w:r w:rsidRPr="006C1311">
              <w:rPr>
                <w:rFonts w:ascii="仿宋_GB2312" w:eastAsia="仿宋_GB2312" w:hint="eastAsia"/>
                <w:sz w:val="28"/>
                <w:szCs w:val="28"/>
              </w:rPr>
              <w:t xml:space="preserve"> 202</w:t>
            </w:r>
            <w:r>
              <w:rPr>
                <w:rFonts w:ascii="仿宋_GB2312" w:eastAsia="仿宋_GB2312" w:hint="eastAsia"/>
                <w:sz w:val="28"/>
                <w:szCs w:val="28"/>
              </w:rPr>
              <w:t>3</w:t>
            </w:r>
            <w:r w:rsidRPr="006C1311">
              <w:rPr>
                <w:rFonts w:ascii="仿宋_GB2312" w:eastAsia="仿宋_GB2312" w:hint="eastAsia"/>
                <w:sz w:val="28"/>
                <w:szCs w:val="28"/>
              </w:rPr>
              <w:t>年</w:t>
            </w:r>
            <w:r w:rsidR="00ED22F6">
              <w:rPr>
                <w:rFonts w:ascii="仿宋_GB2312" w:eastAsia="仿宋_GB2312" w:hint="eastAsia"/>
                <w:sz w:val="28"/>
                <w:szCs w:val="28"/>
              </w:rPr>
              <w:t>3</w:t>
            </w:r>
            <w:r w:rsidRPr="006C1311">
              <w:rPr>
                <w:rFonts w:ascii="仿宋_GB2312" w:eastAsia="仿宋_GB2312" w:hint="eastAsia"/>
                <w:sz w:val="28"/>
                <w:szCs w:val="28"/>
              </w:rPr>
              <w:t>月</w:t>
            </w:r>
            <w:r w:rsidR="00ED22F6">
              <w:rPr>
                <w:rFonts w:ascii="仿宋_GB2312" w:eastAsia="仿宋_GB2312" w:hint="eastAsia"/>
                <w:sz w:val="28"/>
                <w:szCs w:val="28"/>
              </w:rPr>
              <w:t>9</w:t>
            </w:r>
            <w:r w:rsidRPr="006C1311">
              <w:rPr>
                <w:rFonts w:ascii="仿宋_GB2312" w:eastAsia="仿宋_GB2312" w:hint="eastAsia"/>
                <w:sz w:val="28"/>
                <w:szCs w:val="28"/>
              </w:rPr>
              <w:t>日印发</w:t>
            </w:r>
          </w:p>
        </w:tc>
      </w:tr>
    </w:tbl>
    <w:p w:rsidR="00746816" w:rsidRPr="006C1311" w:rsidRDefault="00746816" w:rsidP="00746816">
      <w:pPr>
        <w:spacing w:line="40" w:lineRule="exact"/>
        <w:jc w:val="left"/>
        <w:rPr>
          <w:rFonts w:ascii="仿宋_GB2312" w:eastAsia="仿宋_GB2312" w:hAnsi="仿宋"/>
          <w:sz w:val="32"/>
          <w:szCs w:val="32"/>
        </w:rPr>
      </w:pPr>
    </w:p>
    <w:p w:rsidR="00746816" w:rsidRPr="00746816" w:rsidRDefault="00746816" w:rsidP="00746816">
      <w:pPr>
        <w:spacing w:line="40" w:lineRule="exact"/>
        <w:ind w:firstLineChars="700" w:firstLine="2240"/>
        <w:rPr>
          <w:rFonts w:ascii="黑体" w:eastAsia="黑体" w:hAnsi="黑体" w:cs="黑体"/>
          <w:sz w:val="32"/>
          <w:szCs w:val="32"/>
        </w:rPr>
      </w:pPr>
    </w:p>
    <w:p w:rsidR="001E67CC" w:rsidRDefault="001E67CC">
      <w:pPr>
        <w:spacing w:line="40" w:lineRule="exact"/>
        <w:jc w:val="left"/>
        <w:rPr>
          <w:rFonts w:ascii="仿宋_GB2312" w:eastAsia="仿宋_GB2312" w:hAnsi="仿宋"/>
          <w:sz w:val="32"/>
          <w:szCs w:val="32"/>
        </w:rPr>
      </w:pPr>
    </w:p>
    <w:sectPr w:rsidR="001E67CC">
      <w:footerReference w:type="even" r:id="rId8"/>
      <w:footerReference w:type="default" r:id="rId9"/>
      <w:pgSz w:w="11906" w:h="16838"/>
      <w:pgMar w:top="1701" w:right="1588"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4A0" w:rsidRDefault="00B454A0">
      <w:r>
        <w:separator/>
      </w:r>
    </w:p>
  </w:endnote>
  <w:endnote w:type="continuationSeparator" w:id="0">
    <w:p w:rsidR="00B454A0" w:rsidRDefault="00B4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849281213"/>
    </w:sdtPr>
    <w:sdtEndPr/>
    <w:sdtContent>
      <w:p w:rsidR="001E67CC" w:rsidRDefault="009917F4">
        <w:pPr>
          <w:pStyle w:val="a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9F39E2" w:rsidRPr="009F39E2">
          <w:rPr>
            <w:rFonts w:asciiTheme="minorEastAsia" w:hAnsiTheme="minorEastAsia"/>
            <w:noProof/>
            <w:sz w:val="28"/>
            <w:szCs w:val="28"/>
            <w:lang w:val="zh-CN"/>
          </w:rPr>
          <w:t>-</w:t>
        </w:r>
        <w:r w:rsidR="009F39E2">
          <w:rPr>
            <w:rFonts w:asciiTheme="minorEastAsia" w:hAnsiTheme="minorEastAsia"/>
            <w:noProof/>
            <w:sz w:val="28"/>
            <w:szCs w:val="28"/>
          </w:rPr>
          <w:t xml:space="preserve"> 2 -</w:t>
        </w:r>
        <w:r>
          <w:rPr>
            <w:rFonts w:asciiTheme="minorEastAsia" w:hAnsiTheme="minorEastAsia"/>
            <w:sz w:val="28"/>
            <w:szCs w:val="28"/>
          </w:rPr>
          <w:fldChar w:fldCharType="end"/>
        </w:r>
      </w:p>
    </w:sdtContent>
  </w:sdt>
  <w:p w:rsidR="001E67CC" w:rsidRDefault="001E67C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19415"/>
    </w:sdtPr>
    <w:sdtEndPr>
      <w:rPr>
        <w:rFonts w:asciiTheme="minorEastAsia" w:hAnsiTheme="minorEastAsia"/>
        <w:sz w:val="28"/>
        <w:szCs w:val="28"/>
      </w:rPr>
    </w:sdtEndPr>
    <w:sdtContent>
      <w:p w:rsidR="001E67CC" w:rsidRDefault="009917F4">
        <w:pPr>
          <w:pStyle w:val="a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9F39E2" w:rsidRPr="009F39E2">
          <w:rPr>
            <w:rFonts w:asciiTheme="minorEastAsia" w:hAnsiTheme="minorEastAsia"/>
            <w:noProof/>
            <w:sz w:val="28"/>
            <w:szCs w:val="28"/>
            <w:lang w:val="zh-CN"/>
          </w:rPr>
          <w:t>-</w:t>
        </w:r>
        <w:r w:rsidR="009F39E2">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1E67CC" w:rsidRDefault="001E67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4A0" w:rsidRDefault="00B454A0">
      <w:r>
        <w:separator/>
      </w:r>
    </w:p>
  </w:footnote>
  <w:footnote w:type="continuationSeparator" w:id="0">
    <w:p w:rsidR="00B454A0" w:rsidRDefault="00B45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NDlkYzAwNDQ0NjA3OGIzMTE0ZGFmY2YwZTcwY2EifQ=="/>
  </w:docVars>
  <w:rsids>
    <w:rsidRoot w:val="00BC60D6"/>
    <w:rsid w:val="000008ED"/>
    <w:rsid w:val="00004C22"/>
    <w:rsid w:val="00006F01"/>
    <w:rsid w:val="0001176C"/>
    <w:rsid w:val="00032D05"/>
    <w:rsid w:val="0005434D"/>
    <w:rsid w:val="000604D8"/>
    <w:rsid w:val="00064E48"/>
    <w:rsid w:val="00075724"/>
    <w:rsid w:val="00083B92"/>
    <w:rsid w:val="000A008E"/>
    <w:rsid w:val="000A480A"/>
    <w:rsid w:val="000B5ECD"/>
    <w:rsid w:val="000F755A"/>
    <w:rsid w:val="001117BC"/>
    <w:rsid w:val="0011599D"/>
    <w:rsid w:val="00116291"/>
    <w:rsid w:val="00117ED9"/>
    <w:rsid w:val="00121AC3"/>
    <w:rsid w:val="00122488"/>
    <w:rsid w:val="001237D4"/>
    <w:rsid w:val="00137BAD"/>
    <w:rsid w:val="001461D2"/>
    <w:rsid w:val="00157FA3"/>
    <w:rsid w:val="00172726"/>
    <w:rsid w:val="00181779"/>
    <w:rsid w:val="0018735A"/>
    <w:rsid w:val="00196847"/>
    <w:rsid w:val="001A1966"/>
    <w:rsid w:val="001A3771"/>
    <w:rsid w:val="001A6C48"/>
    <w:rsid w:val="001B4AF0"/>
    <w:rsid w:val="001B5252"/>
    <w:rsid w:val="001B67CA"/>
    <w:rsid w:val="001C32BA"/>
    <w:rsid w:val="001C3370"/>
    <w:rsid w:val="001C5B69"/>
    <w:rsid w:val="001D5DB3"/>
    <w:rsid w:val="001E67CC"/>
    <w:rsid w:val="001F589B"/>
    <w:rsid w:val="0020034A"/>
    <w:rsid w:val="002105E9"/>
    <w:rsid w:val="0022315E"/>
    <w:rsid w:val="00260FBF"/>
    <w:rsid w:val="002661A0"/>
    <w:rsid w:val="0027281D"/>
    <w:rsid w:val="00287E3F"/>
    <w:rsid w:val="002B0E66"/>
    <w:rsid w:val="002B1A8F"/>
    <w:rsid w:val="002B6389"/>
    <w:rsid w:val="002C28B7"/>
    <w:rsid w:val="002C5795"/>
    <w:rsid w:val="002D3187"/>
    <w:rsid w:val="002E4022"/>
    <w:rsid w:val="002F5AC8"/>
    <w:rsid w:val="00301C64"/>
    <w:rsid w:val="00311887"/>
    <w:rsid w:val="003135B3"/>
    <w:rsid w:val="00317582"/>
    <w:rsid w:val="00342ACF"/>
    <w:rsid w:val="00353F50"/>
    <w:rsid w:val="003555D0"/>
    <w:rsid w:val="00383C35"/>
    <w:rsid w:val="00392CD7"/>
    <w:rsid w:val="003B1965"/>
    <w:rsid w:val="003B5062"/>
    <w:rsid w:val="003B7A90"/>
    <w:rsid w:val="003C352B"/>
    <w:rsid w:val="003E5803"/>
    <w:rsid w:val="004158E1"/>
    <w:rsid w:val="004174D6"/>
    <w:rsid w:val="00420863"/>
    <w:rsid w:val="004241DE"/>
    <w:rsid w:val="004449D5"/>
    <w:rsid w:val="004509CC"/>
    <w:rsid w:val="00452784"/>
    <w:rsid w:val="0045316F"/>
    <w:rsid w:val="004542C9"/>
    <w:rsid w:val="00461E28"/>
    <w:rsid w:val="004708AE"/>
    <w:rsid w:val="00483FB8"/>
    <w:rsid w:val="00486F89"/>
    <w:rsid w:val="00490923"/>
    <w:rsid w:val="0049295D"/>
    <w:rsid w:val="004B1B51"/>
    <w:rsid w:val="004E406F"/>
    <w:rsid w:val="00526902"/>
    <w:rsid w:val="00544BBE"/>
    <w:rsid w:val="005508E8"/>
    <w:rsid w:val="00550C13"/>
    <w:rsid w:val="00554A4D"/>
    <w:rsid w:val="00555E58"/>
    <w:rsid w:val="005570EC"/>
    <w:rsid w:val="00560080"/>
    <w:rsid w:val="00562380"/>
    <w:rsid w:val="00576712"/>
    <w:rsid w:val="00577B33"/>
    <w:rsid w:val="00597054"/>
    <w:rsid w:val="005B078E"/>
    <w:rsid w:val="005C17C7"/>
    <w:rsid w:val="005C703F"/>
    <w:rsid w:val="005E00F1"/>
    <w:rsid w:val="005E4377"/>
    <w:rsid w:val="005E53E9"/>
    <w:rsid w:val="00627E7A"/>
    <w:rsid w:val="00630AF1"/>
    <w:rsid w:val="006418E8"/>
    <w:rsid w:val="006504E2"/>
    <w:rsid w:val="00653856"/>
    <w:rsid w:val="0066233C"/>
    <w:rsid w:val="0067561C"/>
    <w:rsid w:val="00682865"/>
    <w:rsid w:val="00682DC0"/>
    <w:rsid w:val="00694F3D"/>
    <w:rsid w:val="006B7D10"/>
    <w:rsid w:val="006C1311"/>
    <w:rsid w:val="006C3F19"/>
    <w:rsid w:val="006E2BA2"/>
    <w:rsid w:val="00700460"/>
    <w:rsid w:val="007038D9"/>
    <w:rsid w:val="007110FE"/>
    <w:rsid w:val="0072084D"/>
    <w:rsid w:val="00720C3A"/>
    <w:rsid w:val="00722CDA"/>
    <w:rsid w:val="00723C38"/>
    <w:rsid w:val="00723CDF"/>
    <w:rsid w:val="00736D20"/>
    <w:rsid w:val="00746816"/>
    <w:rsid w:val="0077578B"/>
    <w:rsid w:val="007801C9"/>
    <w:rsid w:val="00786A69"/>
    <w:rsid w:val="007A389D"/>
    <w:rsid w:val="007A7164"/>
    <w:rsid w:val="007B013F"/>
    <w:rsid w:val="007D2EB2"/>
    <w:rsid w:val="007D6D9D"/>
    <w:rsid w:val="007E21CA"/>
    <w:rsid w:val="007F3EA9"/>
    <w:rsid w:val="007F4233"/>
    <w:rsid w:val="00800F36"/>
    <w:rsid w:val="00805D50"/>
    <w:rsid w:val="00811808"/>
    <w:rsid w:val="008120B3"/>
    <w:rsid w:val="00827A97"/>
    <w:rsid w:val="008436E5"/>
    <w:rsid w:val="00847D23"/>
    <w:rsid w:val="00850948"/>
    <w:rsid w:val="00862E5E"/>
    <w:rsid w:val="00895D2D"/>
    <w:rsid w:val="008C1705"/>
    <w:rsid w:val="008C734E"/>
    <w:rsid w:val="008E188A"/>
    <w:rsid w:val="008F5AB2"/>
    <w:rsid w:val="009014FA"/>
    <w:rsid w:val="00903556"/>
    <w:rsid w:val="009421A7"/>
    <w:rsid w:val="00950343"/>
    <w:rsid w:val="00951CAC"/>
    <w:rsid w:val="009558C0"/>
    <w:rsid w:val="00967066"/>
    <w:rsid w:val="00974107"/>
    <w:rsid w:val="0098165E"/>
    <w:rsid w:val="009917F4"/>
    <w:rsid w:val="009B2044"/>
    <w:rsid w:val="009C00B3"/>
    <w:rsid w:val="009D2A19"/>
    <w:rsid w:val="009D45D3"/>
    <w:rsid w:val="009E5160"/>
    <w:rsid w:val="009F23A8"/>
    <w:rsid w:val="009F39E2"/>
    <w:rsid w:val="009F761B"/>
    <w:rsid w:val="00A0676F"/>
    <w:rsid w:val="00A30302"/>
    <w:rsid w:val="00A46998"/>
    <w:rsid w:val="00A5198A"/>
    <w:rsid w:val="00A966C8"/>
    <w:rsid w:val="00A96A57"/>
    <w:rsid w:val="00AB5686"/>
    <w:rsid w:val="00AB627C"/>
    <w:rsid w:val="00AC6EF5"/>
    <w:rsid w:val="00AD27E4"/>
    <w:rsid w:val="00AD6CEF"/>
    <w:rsid w:val="00AD7AD2"/>
    <w:rsid w:val="00AE0FD1"/>
    <w:rsid w:val="00AF45C4"/>
    <w:rsid w:val="00AF597D"/>
    <w:rsid w:val="00B01C10"/>
    <w:rsid w:val="00B15157"/>
    <w:rsid w:val="00B168FC"/>
    <w:rsid w:val="00B32B2A"/>
    <w:rsid w:val="00B361F6"/>
    <w:rsid w:val="00B454A0"/>
    <w:rsid w:val="00B67037"/>
    <w:rsid w:val="00BC125A"/>
    <w:rsid w:val="00BC1E1A"/>
    <w:rsid w:val="00BC390C"/>
    <w:rsid w:val="00BC3C36"/>
    <w:rsid w:val="00BC60D6"/>
    <w:rsid w:val="00BD2F52"/>
    <w:rsid w:val="00BE217C"/>
    <w:rsid w:val="00BE66B1"/>
    <w:rsid w:val="00BF1E65"/>
    <w:rsid w:val="00C02604"/>
    <w:rsid w:val="00C02C5A"/>
    <w:rsid w:val="00C0512E"/>
    <w:rsid w:val="00C052D8"/>
    <w:rsid w:val="00C21172"/>
    <w:rsid w:val="00C213B3"/>
    <w:rsid w:val="00C40CEB"/>
    <w:rsid w:val="00C54CEB"/>
    <w:rsid w:val="00C55ED6"/>
    <w:rsid w:val="00C76A68"/>
    <w:rsid w:val="00C80276"/>
    <w:rsid w:val="00C84C2B"/>
    <w:rsid w:val="00C908BC"/>
    <w:rsid w:val="00C9317C"/>
    <w:rsid w:val="00CA0DDC"/>
    <w:rsid w:val="00CC40B1"/>
    <w:rsid w:val="00CC7E3F"/>
    <w:rsid w:val="00CD0E60"/>
    <w:rsid w:val="00CD204F"/>
    <w:rsid w:val="00CE3349"/>
    <w:rsid w:val="00CF2451"/>
    <w:rsid w:val="00CF3112"/>
    <w:rsid w:val="00D04267"/>
    <w:rsid w:val="00D33A52"/>
    <w:rsid w:val="00D40303"/>
    <w:rsid w:val="00D71264"/>
    <w:rsid w:val="00D96530"/>
    <w:rsid w:val="00DC6B3F"/>
    <w:rsid w:val="00DD0FFE"/>
    <w:rsid w:val="00DE1555"/>
    <w:rsid w:val="00E04D35"/>
    <w:rsid w:val="00E0602E"/>
    <w:rsid w:val="00E1647F"/>
    <w:rsid w:val="00E2407D"/>
    <w:rsid w:val="00E36FB5"/>
    <w:rsid w:val="00E401E2"/>
    <w:rsid w:val="00E42327"/>
    <w:rsid w:val="00E61E4F"/>
    <w:rsid w:val="00E90A09"/>
    <w:rsid w:val="00E9450D"/>
    <w:rsid w:val="00EC57A1"/>
    <w:rsid w:val="00EC771D"/>
    <w:rsid w:val="00ED0CDB"/>
    <w:rsid w:val="00ED22F6"/>
    <w:rsid w:val="00F036A9"/>
    <w:rsid w:val="00F1095F"/>
    <w:rsid w:val="00F44783"/>
    <w:rsid w:val="00F4679A"/>
    <w:rsid w:val="00F560F4"/>
    <w:rsid w:val="00F7390C"/>
    <w:rsid w:val="00F81903"/>
    <w:rsid w:val="00F840FB"/>
    <w:rsid w:val="00F84C9A"/>
    <w:rsid w:val="00F84DD4"/>
    <w:rsid w:val="00F9232C"/>
    <w:rsid w:val="00F95634"/>
    <w:rsid w:val="00FB20A1"/>
    <w:rsid w:val="00FC70B9"/>
    <w:rsid w:val="00FE4A4B"/>
    <w:rsid w:val="00FE79E6"/>
    <w:rsid w:val="00FF4AFB"/>
    <w:rsid w:val="00FF53DE"/>
    <w:rsid w:val="31267134"/>
    <w:rsid w:val="31A93FF9"/>
    <w:rsid w:val="3C476311"/>
    <w:rsid w:val="40D61E2C"/>
    <w:rsid w:val="4D9E2936"/>
    <w:rsid w:val="52C32E44"/>
    <w:rsid w:val="6E3C6178"/>
    <w:rsid w:val="73CD3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ascii="Calibri" w:eastAsia="宋体" w:hAnsi="Calibri" w:cs="Times New Roman"/>
      <w:kern w:val="0"/>
      <w:sz w:val="24"/>
      <w:szCs w:val="24"/>
    </w:rPr>
  </w:style>
  <w:style w:type="table" w:styleId="a9">
    <w:name w:val="Table Grid"/>
    <w:basedOn w:val="a1"/>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character" w:styleId="ab">
    <w:name w:val="page number"/>
    <w:qFormat/>
  </w:style>
  <w:style w:type="character" w:styleId="ac">
    <w:name w:val="Hyperlink"/>
    <w:basedOn w:val="a0"/>
    <w:uiPriority w:val="99"/>
    <w:unhideWhenUsed/>
    <w:qFormat/>
    <w:rPr>
      <w:color w:val="0000FF" w:themeColor="hyperlink"/>
      <w:u w:val="single"/>
    </w:rPr>
  </w:style>
  <w:style w:type="character" w:customStyle="1" w:styleId="Char0">
    <w:name w:val="日期 Char"/>
    <w:basedOn w:val="a0"/>
    <w:link w:val="a4"/>
    <w:uiPriority w:val="99"/>
    <w:semiHidden/>
    <w:qFormat/>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customStyle="1" w:styleId="Ad">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e">
    <w:name w:val="无"/>
    <w:qFormat/>
  </w:style>
  <w:style w:type="character" w:customStyle="1" w:styleId="Hyperlink0">
    <w:name w:val="Hyperlink.0"/>
    <w:basedOn w:val="ae"/>
    <w:qFormat/>
    <w:rPr>
      <w:rFonts w:ascii="宋体" w:eastAsia="宋体" w:hAnsi="宋体" w:cs="宋体"/>
      <w:color w:val="000000"/>
      <w:kern w:val="0"/>
      <w:sz w:val="24"/>
      <w:szCs w:val="24"/>
      <w:u w:val="single" w:color="000000"/>
      <w:lang w:val="en-US"/>
    </w:rPr>
  </w:style>
  <w:style w:type="table" w:customStyle="1" w:styleId="TableNormal">
    <w:name w:val="Table Normal"/>
    <w:qFormat/>
    <w:rPr>
      <w:rFonts w:ascii="Times New Roman" w:hAnsi="Times New Roman" w:cs="Times New Roman"/>
    </w:rPr>
    <w:tblPr>
      <w:tblCellMar>
        <w:top w:w="0" w:type="dxa"/>
        <w:left w:w="0" w:type="dxa"/>
        <w:bottom w:w="0" w:type="dxa"/>
        <w:right w:w="0" w:type="dxa"/>
      </w:tblCellMar>
    </w:tblPr>
  </w:style>
  <w:style w:type="character" w:customStyle="1" w:styleId="1Char">
    <w:name w:val="标题 1 Char"/>
    <w:basedOn w:val="a0"/>
    <w:link w:val="1"/>
    <w:uiPriority w:val="9"/>
    <w:qFormat/>
    <w:rPr>
      <w:b/>
      <w:bCs/>
      <w:kern w:val="44"/>
      <w:sz w:val="44"/>
      <w:szCs w:val="44"/>
    </w:rPr>
  </w:style>
  <w:style w:type="character" w:customStyle="1" w:styleId="Char">
    <w:name w:val="纯文本 Char"/>
    <w:basedOn w:val="a0"/>
    <w:link w:val="a3"/>
    <w:qFormat/>
    <w:rPr>
      <w:rFonts w:ascii="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Heading21">
    <w:name w:val="Heading #2|1_"/>
    <w:basedOn w:val="a0"/>
    <w:link w:val="Heading210"/>
    <w:qFormat/>
    <w:rPr>
      <w:rFonts w:ascii="宋体" w:eastAsia="宋体" w:hAnsi="宋体" w:cs="宋体"/>
      <w:sz w:val="44"/>
      <w:szCs w:val="44"/>
      <w:lang w:val="zh-TW" w:eastAsia="zh-TW" w:bidi="zh-TW"/>
    </w:rPr>
  </w:style>
  <w:style w:type="paragraph" w:customStyle="1" w:styleId="Heading210">
    <w:name w:val="Heading #2|1"/>
    <w:basedOn w:val="a"/>
    <w:link w:val="Heading21"/>
    <w:qFormat/>
    <w:pPr>
      <w:spacing w:after="480" w:line="677" w:lineRule="exact"/>
      <w:jc w:val="center"/>
      <w:outlineLvl w:val="1"/>
    </w:pPr>
    <w:rPr>
      <w:rFonts w:ascii="宋体" w:eastAsia="宋体" w:hAnsi="宋体" w:cs="宋体"/>
      <w:sz w:val="44"/>
      <w:szCs w:val="44"/>
      <w:lang w:val="zh-TW" w:eastAsia="zh-TW" w:bidi="zh-TW"/>
    </w:rPr>
  </w:style>
  <w:style w:type="character" w:customStyle="1" w:styleId="Bodytext1">
    <w:name w:val="Body text|1_"/>
    <w:basedOn w:val="a0"/>
    <w:link w:val="Bodytext10"/>
    <w:qFormat/>
    <w:rPr>
      <w:rFonts w:ascii="宋体" w:eastAsia="宋体" w:hAnsi="宋体" w:cs="宋体"/>
      <w:sz w:val="30"/>
      <w:szCs w:val="30"/>
      <w:lang w:val="zh-TW" w:eastAsia="zh-TW" w:bidi="zh-TW"/>
    </w:rPr>
  </w:style>
  <w:style w:type="paragraph" w:customStyle="1" w:styleId="Bodytext10">
    <w:name w:val="Body text|1"/>
    <w:basedOn w:val="a"/>
    <w:link w:val="Bodytext1"/>
    <w:qFormat/>
    <w:pPr>
      <w:spacing w:line="360" w:lineRule="auto"/>
      <w:ind w:firstLine="400"/>
      <w:jc w:val="left"/>
    </w:pPr>
    <w:rPr>
      <w:rFonts w:ascii="宋体" w:eastAsia="宋体" w:hAnsi="宋体" w:cs="宋体"/>
      <w:sz w:val="30"/>
      <w:szCs w:val="30"/>
      <w:lang w:val="zh-TW" w:eastAsia="zh-TW" w:bidi="zh-TW"/>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f">
    <w:name w:val="页脚 字符"/>
    <w:uiPriority w:val="99"/>
    <w:qFormat/>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ascii="Calibri" w:eastAsia="宋体" w:hAnsi="Calibri" w:cs="Times New Roman"/>
      <w:kern w:val="0"/>
      <w:sz w:val="24"/>
      <w:szCs w:val="24"/>
    </w:rPr>
  </w:style>
  <w:style w:type="table" w:styleId="a9">
    <w:name w:val="Table Grid"/>
    <w:basedOn w:val="a1"/>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character" w:styleId="ab">
    <w:name w:val="page number"/>
    <w:qFormat/>
  </w:style>
  <w:style w:type="character" w:styleId="ac">
    <w:name w:val="Hyperlink"/>
    <w:basedOn w:val="a0"/>
    <w:uiPriority w:val="99"/>
    <w:unhideWhenUsed/>
    <w:qFormat/>
    <w:rPr>
      <w:color w:val="0000FF" w:themeColor="hyperlink"/>
      <w:u w:val="single"/>
    </w:rPr>
  </w:style>
  <w:style w:type="character" w:customStyle="1" w:styleId="Char0">
    <w:name w:val="日期 Char"/>
    <w:basedOn w:val="a0"/>
    <w:link w:val="a4"/>
    <w:uiPriority w:val="99"/>
    <w:semiHidden/>
    <w:qFormat/>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customStyle="1" w:styleId="Ad">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e">
    <w:name w:val="无"/>
    <w:qFormat/>
  </w:style>
  <w:style w:type="character" w:customStyle="1" w:styleId="Hyperlink0">
    <w:name w:val="Hyperlink.0"/>
    <w:basedOn w:val="ae"/>
    <w:qFormat/>
    <w:rPr>
      <w:rFonts w:ascii="宋体" w:eastAsia="宋体" w:hAnsi="宋体" w:cs="宋体"/>
      <w:color w:val="000000"/>
      <w:kern w:val="0"/>
      <w:sz w:val="24"/>
      <w:szCs w:val="24"/>
      <w:u w:val="single" w:color="000000"/>
      <w:lang w:val="en-US"/>
    </w:rPr>
  </w:style>
  <w:style w:type="table" w:customStyle="1" w:styleId="TableNormal">
    <w:name w:val="Table Normal"/>
    <w:qFormat/>
    <w:rPr>
      <w:rFonts w:ascii="Times New Roman" w:hAnsi="Times New Roman" w:cs="Times New Roman"/>
    </w:rPr>
    <w:tblPr>
      <w:tblCellMar>
        <w:top w:w="0" w:type="dxa"/>
        <w:left w:w="0" w:type="dxa"/>
        <w:bottom w:w="0" w:type="dxa"/>
        <w:right w:w="0" w:type="dxa"/>
      </w:tblCellMar>
    </w:tblPr>
  </w:style>
  <w:style w:type="character" w:customStyle="1" w:styleId="1Char">
    <w:name w:val="标题 1 Char"/>
    <w:basedOn w:val="a0"/>
    <w:link w:val="1"/>
    <w:uiPriority w:val="9"/>
    <w:qFormat/>
    <w:rPr>
      <w:b/>
      <w:bCs/>
      <w:kern w:val="44"/>
      <w:sz w:val="44"/>
      <w:szCs w:val="44"/>
    </w:rPr>
  </w:style>
  <w:style w:type="character" w:customStyle="1" w:styleId="Char">
    <w:name w:val="纯文本 Char"/>
    <w:basedOn w:val="a0"/>
    <w:link w:val="a3"/>
    <w:qFormat/>
    <w:rPr>
      <w:rFonts w:ascii="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Heading21">
    <w:name w:val="Heading #2|1_"/>
    <w:basedOn w:val="a0"/>
    <w:link w:val="Heading210"/>
    <w:qFormat/>
    <w:rPr>
      <w:rFonts w:ascii="宋体" w:eastAsia="宋体" w:hAnsi="宋体" w:cs="宋体"/>
      <w:sz w:val="44"/>
      <w:szCs w:val="44"/>
      <w:lang w:val="zh-TW" w:eastAsia="zh-TW" w:bidi="zh-TW"/>
    </w:rPr>
  </w:style>
  <w:style w:type="paragraph" w:customStyle="1" w:styleId="Heading210">
    <w:name w:val="Heading #2|1"/>
    <w:basedOn w:val="a"/>
    <w:link w:val="Heading21"/>
    <w:qFormat/>
    <w:pPr>
      <w:spacing w:after="480" w:line="677" w:lineRule="exact"/>
      <w:jc w:val="center"/>
      <w:outlineLvl w:val="1"/>
    </w:pPr>
    <w:rPr>
      <w:rFonts w:ascii="宋体" w:eastAsia="宋体" w:hAnsi="宋体" w:cs="宋体"/>
      <w:sz w:val="44"/>
      <w:szCs w:val="44"/>
      <w:lang w:val="zh-TW" w:eastAsia="zh-TW" w:bidi="zh-TW"/>
    </w:rPr>
  </w:style>
  <w:style w:type="character" w:customStyle="1" w:styleId="Bodytext1">
    <w:name w:val="Body text|1_"/>
    <w:basedOn w:val="a0"/>
    <w:link w:val="Bodytext10"/>
    <w:qFormat/>
    <w:rPr>
      <w:rFonts w:ascii="宋体" w:eastAsia="宋体" w:hAnsi="宋体" w:cs="宋体"/>
      <w:sz w:val="30"/>
      <w:szCs w:val="30"/>
      <w:lang w:val="zh-TW" w:eastAsia="zh-TW" w:bidi="zh-TW"/>
    </w:rPr>
  </w:style>
  <w:style w:type="paragraph" w:customStyle="1" w:styleId="Bodytext10">
    <w:name w:val="Body text|1"/>
    <w:basedOn w:val="a"/>
    <w:link w:val="Bodytext1"/>
    <w:qFormat/>
    <w:pPr>
      <w:spacing w:line="360" w:lineRule="auto"/>
      <w:ind w:firstLine="400"/>
      <w:jc w:val="left"/>
    </w:pPr>
    <w:rPr>
      <w:rFonts w:ascii="宋体" w:eastAsia="宋体" w:hAnsi="宋体" w:cs="宋体"/>
      <w:sz w:val="30"/>
      <w:szCs w:val="30"/>
      <w:lang w:val="zh-TW" w:eastAsia="zh-TW" w:bidi="zh-TW"/>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f">
    <w:name w:val="页脚 字符"/>
    <w:uiPriority w:val="99"/>
    <w:qFormat/>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5A982-6A8B-482D-8ABA-A7E3EEAE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1178</Words>
  <Characters>6716</Characters>
  <Application>Microsoft Office Word</Application>
  <DocSecurity>0</DocSecurity>
  <Lines>55</Lines>
  <Paragraphs>15</Paragraphs>
  <ScaleCrop>false</ScaleCrop>
  <Company>Microsoft</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秦杭</dc:creator>
  <cp:lastModifiedBy>PC</cp:lastModifiedBy>
  <cp:revision>5</cp:revision>
  <cp:lastPrinted>2023-03-09T09:43:00Z</cp:lastPrinted>
  <dcterms:created xsi:type="dcterms:W3CDTF">2023-03-09T09:37:00Z</dcterms:created>
  <dcterms:modified xsi:type="dcterms:W3CDTF">2023-03-09T10:07:00Z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7CE2D1BB76494EE1825EFCE2FE5793C4</vt:lpwstr>
  </property>
</Properties>
</file>