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r>
        <w:pict>
          <v:group id="画布 4" o:spid="_x0000_s1026" o:spt="203" style="height:258.45pt;width:419.4pt;" coordsize="53263,32823" editas="canvas">
            <o:lock v:ext="edit"/>
            <v:shape id="画布 4" o:spid="_x0000_s1027" o:spt="75" type="#_x0000_t75" style="position:absolute;left:0;top:0;height:32823;width:53263;" filled="f" o:preferrelative="t" stroked="f" coordsize="21600,21600">
              <v:path/>
              <v:fill on="f" focussize="0,0"/>
              <v:stroke on="f" joinstyle="miter"/>
              <v:imagedata o:title=""/>
              <o:lock v:ext="edit" aspectratio="t"/>
            </v:shape>
            <v:shape id="Text Box 4" o:spid="_x0000_s1028" o:spt="202" type="#_x0000_t202" style="position:absolute;left:95;top:28606;height:2616;width:53168;" fillcolor="#C0C0C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o:spt="202" type="#_x0000_t202" style="position:absolute;left:4019;top:17011;height:10573;width:4455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国泰新点软件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  <w:lang w:eastAsia="zh-CN"/>
                      </w:rPr>
                      <w:t>股份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有限公司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hint="default" w:ascii="宋体" w:hAnsi="宋体" w:eastAsia="宋体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</w:t>
                    </w:r>
                    <w:r>
                      <w:rPr>
                        <w:rFonts w:hint="eastAsia" w:ascii="宋体" w:hAnsi="宋体"/>
                        <w:szCs w:val="21"/>
                        <w:lang w:val="en-US" w:eastAsia="zh-CN"/>
                      </w:rPr>
                      <w:t>400-998-0000</w:t>
                    </w:r>
                  </w:p>
                </w:txbxContent>
              </v:textbox>
            </v:shape>
            <v:shape id="_x0000_s1030" o:spid="_x0000_s1030" o:spt="75" type="#_x0000_t75" style="position:absolute;left:6286;top:0;height:17640;width:41167;" filled="f" o:preferrelative="t" stroked="f" coordsize="21600,21600">
              <v:path/>
              <v:fill on="f" focussize="0,0"/>
              <v:stroke on="f" joinstyle="miter"/>
              <v:imagedata r:id="rId6" o:title="Epoint新点"/>
              <o:lock v:ext="edit" aspectratio="t"/>
            </v:shape>
            <w10:wrap type="none"/>
            <w10:anchorlock/>
          </v:group>
        </w:pic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综合交易</w:t>
      </w:r>
      <w:r>
        <w:rPr>
          <w:rFonts w:hint="eastAsia" w:eastAsia="黑体"/>
          <w:b/>
          <w:sz w:val="52"/>
          <w:szCs w:val="52"/>
        </w:rPr>
        <w:t>代理操作手册</w:t>
      </w:r>
    </w:p>
    <w:p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>
      <w:pPr>
        <w:pStyle w:val="17"/>
        <w:spacing w:line="360" w:lineRule="auto"/>
        <w:ind w:left="1362" w:hanging="1362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t>目录</w:t>
      </w:r>
    </w:p>
    <w:p>
      <w:pPr>
        <w:pStyle w:val="17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"_Toc528742518" </w:instrText>
      </w:r>
      <w:r>
        <w:fldChar w:fldCharType="separate"/>
      </w:r>
      <w:r>
        <w:rPr>
          <w:rStyle w:val="25"/>
          <w:rFonts w:hint="eastAsia"/>
        </w:rPr>
        <w:t>一、 系统前期准备</w:t>
      </w:r>
      <w:r>
        <w:tab/>
      </w:r>
      <w:r>
        <w:fldChar w:fldCharType="begin"/>
      </w:r>
      <w:r>
        <w:instrText xml:space="preserve"> PAGEREF _Toc528742518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"_Toc528742519" </w:instrText>
      </w:r>
      <w:r>
        <w:fldChar w:fldCharType="separate"/>
      </w:r>
      <w:r>
        <w:rPr>
          <w:rStyle w:val="25"/>
          <w:rFonts w:hint="eastAsia"/>
        </w:rPr>
        <w:t>1.1、 驱动安装说明</w:t>
      </w:r>
      <w:r>
        <w:tab/>
      </w:r>
      <w:r>
        <w:fldChar w:fldCharType="begin"/>
      </w:r>
      <w:r>
        <w:instrText xml:space="preserve"> PAGEREF _Toc528742519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"_Toc528742520" </w:instrText>
      </w:r>
      <w:r>
        <w:fldChar w:fldCharType="separate"/>
      </w:r>
      <w:r>
        <w:rPr>
          <w:rStyle w:val="25"/>
          <w:rFonts w:hint="eastAsia"/>
        </w:rPr>
        <w:t>1.1.1、 安装驱动程序</w:t>
      </w:r>
      <w:r>
        <w:tab/>
      </w:r>
      <w:r>
        <w:fldChar w:fldCharType="begin"/>
      </w:r>
      <w:r>
        <w:instrText xml:space="preserve"> PAGEREF _Toc528742520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"_Toc528742521" </w:instrText>
      </w:r>
      <w:r>
        <w:fldChar w:fldCharType="separate"/>
      </w:r>
      <w:r>
        <w:rPr>
          <w:rStyle w:val="25"/>
          <w:rFonts w:hint="eastAsia"/>
        </w:rPr>
        <w:t>1.2、 证书工具</w:t>
      </w:r>
      <w:r>
        <w:tab/>
      </w:r>
      <w:r>
        <w:fldChar w:fldCharType="begin"/>
      </w:r>
      <w:r>
        <w:instrText xml:space="preserve"> PAGEREF _Toc528742521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"_Toc528742522" </w:instrText>
      </w:r>
      <w:r>
        <w:fldChar w:fldCharType="separate"/>
      </w:r>
      <w:r>
        <w:rPr>
          <w:rStyle w:val="25"/>
          <w:rFonts w:hint="eastAsia"/>
        </w:rPr>
        <w:t>1.2.1、 修改口令</w:t>
      </w:r>
      <w:r>
        <w:tab/>
      </w:r>
      <w:r>
        <w:fldChar w:fldCharType="begin"/>
      </w:r>
      <w:r>
        <w:instrText xml:space="preserve"> PAGEREF _Toc528742522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"_Toc528742523" </w:instrText>
      </w:r>
      <w:r>
        <w:fldChar w:fldCharType="separate"/>
      </w:r>
      <w:r>
        <w:rPr>
          <w:rStyle w:val="25"/>
          <w:rFonts w:hint="eastAsia"/>
        </w:rPr>
        <w:t>1.3、 检测工具</w:t>
      </w:r>
      <w:r>
        <w:tab/>
      </w:r>
      <w:r>
        <w:fldChar w:fldCharType="begin"/>
      </w:r>
      <w:r>
        <w:instrText xml:space="preserve"> PAGEREF _Toc528742523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"_Toc528742524" </w:instrText>
      </w:r>
      <w:r>
        <w:fldChar w:fldCharType="separate"/>
      </w:r>
      <w:r>
        <w:rPr>
          <w:rStyle w:val="25"/>
          <w:rFonts w:hint="eastAsia"/>
        </w:rPr>
        <w:t>1.3.1、 启动检测工具</w:t>
      </w:r>
      <w:r>
        <w:tab/>
      </w:r>
      <w:r>
        <w:fldChar w:fldCharType="begin"/>
      </w:r>
      <w:r>
        <w:instrText xml:space="preserve"> PAGEREF _Toc528742524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"_Toc528742525" </w:instrText>
      </w:r>
      <w:r>
        <w:fldChar w:fldCharType="separate"/>
      </w:r>
      <w:r>
        <w:rPr>
          <w:rStyle w:val="25"/>
          <w:rFonts w:hint="eastAsia"/>
        </w:rPr>
        <w:t>1.3.2、 系统检测</w:t>
      </w:r>
      <w:r>
        <w:tab/>
      </w:r>
      <w:r>
        <w:fldChar w:fldCharType="begin"/>
      </w:r>
      <w:r>
        <w:instrText xml:space="preserve"> PAGEREF _Toc528742525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"_Toc528742526" </w:instrText>
      </w:r>
      <w:r>
        <w:fldChar w:fldCharType="separate"/>
      </w:r>
      <w:r>
        <w:rPr>
          <w:rStyle w:val="25"/>
          <w:rFonts w:hint="eastAsia"/>
        </w:rPr>
        <w:t>1.3.3、 控件检测</w:t>
      </w:r>
      <w:r>
        <w:tab/>
      </w:r>
      <w:r>
        <w:fldChar w:fldCharType="begin"/>
      </w:r>
      <w:r>
        <w:instrText xml:space="preserve"> PAGEREF _Toc528742526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"_Toc528742527" </w:instrText>
      </w:r>
      <w:r>
        <w:fldChar w:fldCharType="separate"/>
      </w:r>
      <w:r>
        <w:rPr>
          <w:rStyle w:val="25"/>
          <w:rFonts w:hint="eastAsia"/>
        </w:rPr>
        <w:t>1.3.4、 证书检测</w:t>
      </w:r>
      <w:r>
        <w:tab/>
      </w:r>
      <w:r>
        <w:fldChar w:fldCharType="begin"/>
      </w:r>
      <w:r>
        <w:instrText xml:space="preserve"> PAGEREF _Toc528742527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"_Toc528742528" </w:instrText>
      </w:r>
      <w:r>
        <w:fldChar w:fldCharType="separate"/>
      </w:r>
      <w:r>
        <w:rPr>
          <w:rStyle w:val="25"/>
          <w:rFonts w:hint="eastAsia"/>
        </w:rPr>
        <w:t>1.3.5、 签章检测</w:t>
      </w:r>
      <w:r>
        <w:tab/>
      </w:r>
      <w:r>
        <w:fldChar w:fldCharType="begin"/>
      </w:r>
      <w:r>
        <w:instrText xml:space="preserve"> PAGEREF _Toc528742528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"_Toc528742529" </w:instrText>
      </w:r>
      <w:r>
        <w:fldChar w:fldCharType="separate"/>
      </w:r>
      <w:r>
        <w:rPr>
          <w:rStyle w:val="25"/>
          <w:rFonts w:hint="eastAsia"/>
        </w:rPr>
        <w:t>1.4、 浏览器配置</w:t>
      </w:r>
      <w:r>
        <w:tab/>
      </w:r>
      <w:r>
        <w:fldChar w:fldCharType="begin"/>
      </w:r>
      <w:r>
        <w:instrText xml:space="preserve"> PAGEREF _Toc528742529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"_Toc528742530" </w:instrText>
      </w:r>
      <w:r>
        <w:fldChar w:fldCharType="separate"/>
      </w:r>
      <w:r>
        <w:rPr>
          <w:rStyle w:val="25"/>
          <w:rFonts w:hint="eastAsia"/>
        </w:rPr>
        <w:t>1.4.1、</w:t>
      </w:r>
      <w:r>
        <w:rPr>
          <w:rStyle w:val="25"/>
        </w:rPr>
        <w:t xml:space="preserve"> Internet</w:t>
      </w:r>
      <w:r>
        <w:rPr>
          <w:rStyle w:val="25"/>
          <w:rFonts w:hint="eastAsia"/>
        </w:rPr>
        <w:t>选项</w:t>
      </w:r>
      <w:r>
        <w:tab/>
      </w:r>
      <w:r>
        <w:fldChar w:fldCharType="begin"/>
      </w:r>
      <w:r>
        <w:instrText xml:space="preserve"> PAGEREF _Toc528742530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"_Toc528742531" </w:instrText>
      </w:r>
      <w:r>
        <w:fldChar w:fldCharType="separate"/>
      </w:r>
      <w:r>
        <w:rPr>
          <w:rStyle w:val="25"/>
          <w:rFonts w:hint="eastAsia"/>
        </w:rPr>
        <w:t>1.4.2、 关闭拦截工具</w:t>
      </w:r>
      <w:r>
        <w:tab/>
      </w:r>
      <w:r>
        <w:fldChar w:fldCharType="begin"/>
      </w:r>
      <w:r>
        <w:instrText xml:space="preserve"> PAGEREF _Toc528742531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"_Toc528742532" </w:instrText>
      </w:r>
      <w:r>
        <w:fldChar w:fldCharType="separate"/>
      </w:r>
      <w:r>
        <w:rPr>
          <w:rStyle w:val="25"/>
          <w:rFonts w:hint="eastAsia"/>
        </w:rPr>
        <w:t>二、 水利工程</w:t>
      </w:r>
      <w:r>
        <w:tab/>
      </w:r>
      <w:r>
        <w:fldChar w:fldCharType="begin"/>
      </w:r>
      <w:r>
        <w:instrText xml:space="preserve"> PAGEREF _Toc528742532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"_Toc528742533" </w:instrText>
      </w:r>
      <w:r>
        <w:fldChar w:fldCharType="separate"/>
      </w:r>
      <w:r>
        <w:rPr>
          <w:rStyle w:val="25"/>
          <w:rFonts w:hint="eastAsia"/>
        </w:rPr>
        <w:t>2.1、 招标方案</w:t>
      </w:r>
      <w:r>
        <w:tab/>
      </w:r>
      <w:r>
        <w:fldChar w:fldCharType="begin"/>
      </w:r>
      <w:r>
        <w:instrText xml:space="preserve"> PAGEREF _Toc528742533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"_Toc528742534" </w:instrText>
      </w:r>
      <w:r>
        <w:fldChar w:fldCharType="separate"/>
      </w:r>
      <w:r>
        <w:rPr>
          <w:rStyle w:val="25"/>
          <w:rFonts w:hint="eastAsia"/>
        </w:rPr>
        <w:t>2.1.1、 项目注册</w:t>
      </w:r>
      <w:r>
        <w:tab/>
      </w:r>
      <w:r>
        <w:fldChar w:fldCharType="begin"/>
      </w:r>
      <w:r>
        <w:instrText xml:space="preserve"> PAGEREF _Toc528742534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"_Toc528742535" </w:instrText>
      </w:r>
      <w:r>
        <w:fldChar w:fldCharType="separate"/>
      </w:r>
      <w:r>
        <w:rPr>
          <w:rStyle w:val="25"/>
          <w:rFonts w:hint="eastAsia"/>
        </w:rPr>
        <w:t>2.1.2、 初步分包</w:t>
      </w:r>
      <w:r>
        <w:tab/>
      </w:r>
      <w:r>
        <w:fldChar w:fldCharType="begin"/>
      </w:r>
      <w:r>
        <w:instrText xml:space="preserve"> PAGEREF _Toc528742535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"_Toc528742536" </w:instrText>
      </w:r>
      <w:r>
        <w:fldChar w:fldCharType="separate"/>
      </w:r>
      <w:r>
        <w:rPr>
          <w:rStyle w:val="25"/>
          <w:rFonts w:hint="eastAsia"/>
        </w:rPr>
        <w:t>2.1.3、 招标委托合同</w:t>
      </w:r>
      <w:r>
        <w:tab/>
      </w:r>
      <w:r>
        <w:fldChar w:fldCharType="begin"/>
      </w:r>
      <w:r>
        <w:instrText xml:space="preserve"> PAGEREF _Toc528742536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"_Toc528742537" </w:instrText>
      </w:r>
      <w:r>
        <w:fldChar w:fldCharType="separate"/>
      </w:r>
      <w:r>
        <w:rPr>
          <w:rStyle w:val="25"/>
          <w:rFonts w:hint="eastAsia"/>
        </w:rPr>
        <w:t>2.2、 发布公告</w:t>
      </w:r>
      <w:r>
        <w:tab/>
      </w:r>
      <w:r>
        <w:fldChar w:fldCharType="begin"/>
      </w:r>
      <w:r>
        <w:instrText xml:space="preserve"> PAGEREF _Toc528742537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"_Toc528742538" </w:instrText>
      </w:r>
      <w:r>
        <w:fldChar w:fldCharType="separate"/>
      </w:r>
      <w:r>
        <w:rPr>
          <w:rStyle w:val="25"/>
          <w:rFonts w:hint="eastAsia"/>
        </w:rPr>
        <w:t>2.2.1、 招标公告和文件</w:t>
      </w:r>
      <w:r>
        <w:tab/>
      </w:r>
      <w:r>
        <w:fldChar w:fldCharType="begin"/>
      </w:r>
      <w:r>
        <w:instrText xml:space="preserve"> PAGEREF _Toc528742538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"_Toc528742539" </w:instrText>
      </w:r>
      <w:r>
        <w:fldChar w:fldCharType="separate"/>
      </w:r>
      <w:r>
        <w:rPr>
          <w:rStyle w:val="25"/>
          <w:rFonts w:hint="eastAsia"/>
        </w:rPr>
        <w:t>2.2.2、 变更公告</w:t>
      </w:r>
      <w:r>
        <w:tab/>
      </w:r>
      <w:r>
        <w:fldChar w:fldCharType="begin"/>
      </w:r>
      <w:r>
        <w:instrText xml:space="preserve"> PAGEREF _Toc528742539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"_Toc528742540" </w:instrText>
      </w:r>
      <w:r>
        <w:fldChar w:fldCharType="separate"/>
      </w:r>
      <w:r>
        <w:rPr>
          <w:rStyle w:val="25"/>
          <w:rFonts w:hint="eastAsia"/>
        </w:rPr>
        <w:t>2.2.3、 踏勘通知及现场记录</w:t>
      </w:r>
      <w:r>
        <w:tab/>
      </w:r>
      <w:r>
        <w:fldChar w:fldCharType="begin"/>
      </w:r>
      <w:r>
        <w:instrText xml:space="preserve"> PAGEREF _Toc528742540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"_Toc528742541" </w:instrText>
      </w:r>
      <w:r>
        <w:fldChar w:fldCharType="separate"/>
      </w:r>
      <w:r>
        <w:rPr>
          <w:rStyle w:val="25"/>
          <w:rFonts w:hint="eastAsia"/>
        </w:rPr>
        <w:t>2.2.4、 开评标场地预约</w:t>
      </w:r>
      <w:r>
        <w:tab/>
      </w:r>
      <w:r>
        <w:fldChar w:fldCharType="begin"/>
      </w:r>
      <w:r>
        <w:instrText xml:space="preserve"> PAGEREF _Toc528742541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"_Toc528742542" </w:instrText>
      </w:r>
      <w:r>
        <w:fldChar w:fldCharType="separate"/>
      </w:r>
      <w:r>
        <w:rPr>
          <w:rStyle w:val="25"/>
          <w:rFonts w:hint="eastAsia"/>
        </w:rPr>
        <w:t>2.2.5、 开评标场地变更</w:t>
      </w:r>
      <w:r>
        <w:tab/>
      </w:r>
      <w:r>
        <w:fldChar w:fldCharType="begin"/>
      </w:r>
      <w:r>
        <w:instrText xml:space="preserve"> PAGEREF _Toc528742542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"_Toc528742543" </w:instrText>
      </w:r>
      <w:r>
        <w:fldChar w:fldCharType="separate"/>
      </w:r>
      <w:r>
        <w:rPr>
          <w:rStyle w:val="25"/>
          <w:rFonts w:hint="eastAsia"/>
        </w:rPr>
        <w:t>2.2.6、 答疑澄清文件</w:t>
      </w:r>
      <w:r>
        <w:tab/>
      </w:r>
      <w:r>
        <w:fldChar w:fldCharType="begin"/>
      </w:r>
      <w:r>
        <w:instrText xml:space="preserve"> PAGEREF _Toc528742543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"_Toc528742544" </w:instrText>
      </w:r>
      <w:r>
        <w:fldChar w:fldCharType="separate"/>
      </w:r>
      <w:r>
        <w:rPr>
          <w:rStyle w:val="25"/>
          <w:rFonts w:hint="eastAsia"/>
        </w:rPr>
        <w:t>2.2.7、 招标控制价文件</w:t>
      </w:r>
      <w:r>
        <w:tab/>
      </w:r>
      <w:r>
        <w:fldChar w:fldCharType="begin"/>
      </w:r>
      <w:r>
        <w:instrText xml:space="preserve"> PAGEREF _Toc528742544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"_Toc528742545" </w:instrText>
      </w:r>
      <w:r>
        <w:fldChar w:fldCharType="separate"/>
      </w:r>
      <w:r>
        <w:rPr>
          <w:rStyle w:val="25"/>
          <w:rFonts w:hint="eastAsia"/>
        </w:rPr>
        <w:t>2.3、 开标评标</w:t>
      </w:r>
      <w:r>
        <w:tab/>
      </w:r>
      <w:r>
        <w:fldChar w:fldCharType="begin"/>
      </w:r>
      <w:r>
        <w:instrText xml:space="preserve"> PAGEREF _Toc528742545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"_Toc528742546" </w:instrText>
      </w:r>
      <w:r>
        <w:fldChar w:fldCharType="separate"/>
      </w:r>
      <w:r>
        <w:rPr>
          <w:rStyle w:val="25"/>
          <w:rFonts w:hint="eastAsia"/>
        </w:rPr>
        <w:t>2.3.1、 开标情况</w:t>
      </w:r>
      <w:r>
        <w:tab/>
      </w:r>
      <w:r>
        <w:fldChar w:fldCharType="begin"/>
      </w:r>
      <w:r>
        <w:instrText xml:space="preserve"> PAGEREF _Toc528742546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"_Toc528742547" </w:instrText>
      </w:r>
      <w:r>
        <w:fldChar w:fldCharType="separate"/>
      </w:r>
      <w:r>
        <w:rPr>
          <w:rStyle w:val="25"/>
          <w:rFonts w:hint="eastAsia"/>
        </w:rPr>
        <w:t>2.3.2、 评标情况</w:t>
      </w:r>
      <w:r>
        <w:tab/>
      </w:r>
      <w:r>
        <w:fldChar w:fldCharType="begin"/>
      </w:r>
      <w:r>
        <w:instrText xml:space="preserve"> PAGEREF _Toc528742547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"_Toc528742548" </w:instrText>
      </w:r>
      <w:r>
        <w:fldChar w:fldCharType="separate"/>
      </w:r>
      <w:r>
        <w:rPr>
          <w:rStyle w:val="25"/>
          <w:rFonts w:hint="eastAsia"/>
        </w:rPr>
        <w:t>2.4、 定标</w:t>
      </w:r>
      <w:r>
        <w:tab/>
      </w:r>
      <w:r>
        <w:fldChar w:fldCharType="begin"/>
      </w:r>
      <w:r>
        <w:instrText xml:space="preserve"> PAGEREF _Toc528742548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"_Toc528742549" </w:instrText>
      </w:r>
      <w:r>
        <w:fldChar w:fldCharType="separate"/>
      </w:r>
      <w:r>
        <w:rPr>
          <w:rStyle w:val="25"/>
          <w:rFonts w:hint="eastAsia"/>
        </w:rPr>
        <w:t>2.4.1、 中标候选人公示</w:t>
      </w:r>
      <w:r>
        <w:tab/>
      </w:r>
      <w:r>
        <w:fldChar w:fldCharType="begin"/>
      </w:r>
      <w:r>
        <w:instrText xml:space="preserve"> PAGEREF _Toc528742549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"_Toc528742550" </w:instrText>
      </w:r>
      <w:r>
        <w:fldChar w:fldCharType="separate"/>
      </w:r>
      <w:r>
        <w:rPr>
          <w:rStyle w:val="25"/>
          <w:rFonts w:hint="eastAsia"/>
        </w:rPr>
        <w:t>2.4.2、 中标结果公告</w:t>
      </w:r>
      <w:r>
        <w:tab/>
      </w:r>
      <w:r>
        <w:fldChar w:fldCharType="begin"/>
      </w:r>
      <w:r>
        <w:instrText xml:space="preserve"> PAGEREF _Toc528742550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"_Toc528742551" </w:instrText>
      </w:r>
      <w:r>
        <w:fldChar w:fldCharType="separate"/>
      </w:r>
      <w:r>
        <w:rPr>
          <w:rStyle w:val="25"/>
          <w:rFonts w:hint="eastAsia"/>
        </w:rPr>
        <w:t>2.4.3、 中标通知书</w:t>
      </w:r>
      <w:r>
        <w:tab/>
      </w:r>
      <w:r>
        <w:fldChar w:fldCharType="begin"/>
      </w:r>
      <w:r>
        <w:instrText xml:space="preserve"> PAGEREF _Toc528742551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"_Toc528742552" </w:instrText>
      </w:r>
      <w:r>
        <w:fldChar w:fldCharType="separate"/>
      </w:r>
      <w:r>
        <w:rPr>
          <w:rStyle w:val="25"/>
          <w:rFonts w:hint="eastAsia"/>
        </w:rPr>
        <w:t>2.4.4、 合同签署</w:t>
      </w:r>
      <w:r>
        <w:tab/>
      </w:r>
      <w:r>
        <w:fldChar w:fldCharType="begin"/>
      </w:r>
      <w:r>
        <w:instrText xml:space="preserve"> PAGEREF _Toc528742552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"_Toc528742553" </w:instrText>
      </w:r>
      <w:r>
        <w:fldChar w:fldCharType="separate"/>
      </w:r>
      <w:r>
        <w:rPr>
          <w:rStyle w:val="25"/>
          <w:rFonts w:hint="eastAsia"/>
        </w:rPr>
        <w:t>2.5、 特殊情况</w:t>
      </w:r>
      <w:r>
        <w:tab/>
      </w:r>
      <w:r>
        <w:fldChar w:fldCharType="begin"/>
      </w:r>
      <w:r>
        <w:instrText xml:space="preserve"> PAGEREF _Toc528742553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"_Toc528742554" </w:instrText>
      </w:r>
      <w:r>
        <w:fldChar w:fldCharType="separate"/>
      </w:r>
      <w:r>
        <w:rPr>
          <w:rStyle w:val="25"/>
          <w:rFonts w:hint="eastAsia"/>
        </w:rPr>
        <w:t>2.5.1、 招标异常</w:t>
      </w:r>
      <w:r>
        <w:tab/>
      </w:r>
      <w:r>
        <w:fldChar w:fldCharType="begin"/>
      </w:r>
      <w:r>
        <w:instrText xml:space="preserve"> PAGEREF _Toc528742554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r>
        <w:rPr>
          <w:rFonts w:cs="Calibri"/>
          <w:szCs w:val="20"/>
        </w:rPr>
        <w:fldChar w:fldCharType="end"/>
      </w:r>
      <w:r>
        <w:br w:type="page"/>
      </w:r>
    </w:p>
    <w:p>
      <w:pPr>
        <w:pStyle w:val="2"/>
      </w:pPr>
      <w:bookmarkStart w:id="0" w:name="_Toc528742518"/>
      <w:bookmarkStart w:id="1" w:name="_Toc346701609"/>
      <w:bookmarkStart w:id="2" w:name="_Toc346183627"/>
      <w:r>
        <w:t>系统前期准备</w:t>
      </w:r>
      <w:bookmarkEnd w:id="0"/>
      <w:bookmarkEnd w:id="1"/>
      <w:bookmarkEnd w:id="2"/>
    </w:p>
    <w:p>
      <w:pPr>
        <w:pStyle w:val="3"/>
        <w:tabs>
          <w:tab w:val="left" w:pos="567"/>
        </w:tabs>
      </w:pPr>
      <w:bookmarkStart w:id="3" w:name="_Toc528742359"/>
      <w:bookmarkStart w:id="4" w:name="_Toc346183628"/>
      <w:bookmarkStart w:id="5" w:name="_Toc346701621"/>
      <w:bookmarkStart w:id="6" w:name="_Toc528742529"/>
      <w:bookmarkStart w:id="7" w:name="_Toc346183639"/>
      <w:r>
        <w:t>驱动安装说明</w:t>
      </w:r>
      <w:bookmarkEnd w:id="3"/>
      <w:bookmarkEnd w:id="4"/>
    </w:p>
    <w:p>
      <w:pPr>
        <w:pStyle w:val="4"/>
        <w:tabs>
          <w:tab w:val="left" w:pos="567"/>
        </w:tabs>
      </w:pPr>
      <w:bookmarkStart w:id="8" w:name="_Toc528742360"/>
      <w:bookmarkStart w:id="9" w:name="_Toc346183629"/>
      <w:r>
        <w:t>安装驱动程序</w:t>
      </w:r>
      <w:bookmarkEnd w:id="8"/>
      <w:bookmarkEnd w:id="9"/>
    </w:p>
    <w:p>
      <w:pPr>
        <w:pStyle w:val="36"/>
        <w:spacing w:line="360" w:lineRule="auto"/>
        <w:ind w:firstLineChars="0"/>
        <w:rPr>
          <w:spacing w:val="4"/>
        </w:rPr>
      </w:pPr>
      <w:r>
        <w:rPr>
          <w:spacing w:val="4"/>
        </w:rPr>
        <w:t>1、双击安装程序</w:t>
      </w:r>
      <w:r>
        <w:drawing>
          <wp:inline distT="0" distB="0" distL="114300" distR="114300">
            <wp:extent cx="704850" cy="752475"/>
            <wp:effectExtent l="0" t="0" r="0" b="9525"/>
            <wp:docPr id="1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，进入安装向导，点击快速安装，驱动直接安装到</w:t>
      </w:r>
      <w:r>
        <w:rPr>
          <w:rFonts w:hint="eastAsia"/>
          <w:spacing w:val="4"/>
        </w:rPr>
        <w:t>C盘。</w:t>
      </w:r>
    </w:p>
    <w:p>
      <w:pPr>
        <w:pStyle w:val="36"/>
        <w:widowControl/>
        <w:ind w:firstLine="0" w:firstLineChars="0"/>
        <w:rPr>
          <w:rFonts w:ascii="宋体" w:hAnsi="宋体" w:cs="宋体"/>
          <w:kern w:val="0"/>
          <w:sz w:val="24"/>
        </w:rPr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5000625" cy="3943350"/>
            <wp:effectExtent l="0" t="0" r="9525" b="0"/>
            <wp:docPr id="1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center"/>
        <w:rPr>
          <w:rFonts w:ascii="宋体" w:hAnsi="宋体" w:cs="宋体"/>
          <w:kern w:val="0"/>
          <w:sz w:val="24"/>
        </w:rPr>
      </w:pPr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2</w:t>
      </w:r>
      <w:r>
        <w:rPr>
          <w:spacing w:val="4"/>
        </w:rPr>
        <w:t>、</w:t>
      </w:r>
      <w:r>
        <w:rPr>
          <w:rFonts w:hint="eastAsia"/>
          <w:spacing w:val="4"/>
        </w:rPr>
        <w:t>点击“下一步”，直到</w:t>
      </w:r>
      <w:r>
        <w:rPr>
          <w:spacing w:val="4"/>
        </w:rPr>
        <w:t>驱动安装完成，点击“完成”按钮，退出安装向导。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114300" distR="114300">
            <wp:extent cx="4953000" cy="3914775"/>
            <wp:effectExtent l="0" t="0" r="0" b="9525"/>
            <wp:docPr id="1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2"/>
        <w:ind w:firstLine="0" w:firstLineChars="0"/>
        <w:rPr>
          <w:b/>
          <w:spacing w:val="4"/>
        </w:rPr>
      </w:pPr>
    </w:p>
    <w:p>
      <w:pPr>
        <w:pStyle w:val="3"/>
        <w:tabs>
          <w:tab w:val="left" w:pos="567"/>
        </w:tabs>
      </w:pPr>
      <w:bookmarkStart w:id="10" w:name="_Toc528742361"/>
      <w:bookmarkStart w:id="11" w:name="_Toc346183631"/>
      <w:r>
        <w:t>证书工具</w:t>
      </w:r>
      <w:bookmarkEnd w:id="10"/>
      <w:bookmarkEnd w:id="11"/>
    </w:p>
    <w:p>
      <w:pPr>
        <w:pStyle w:val="4"/>
        <w:tabs>
          <w:tab w:val="left" w:pos="567"/>
        </w:tabs>
      </w:pPr>
      <w:bookmarkStart w:id="12" w:name="_Toc528742362"/>
      <w:bookmarkStart w:id="13" w:name="_Toc346183632"/>
      <w:r>
        <w:t>修改口令</w:t>
      </w:r>
      <w:bookmarkEnd w:id="12"/>
      <w:bookmarkEnd w:id="13"/>
    </w:p>
    <w:p>
      <w:pPr>
        <w:ind w:firstLine="436"/>
        <w:rPr>
          <w:spacing w:val="4"/>
        </w:rPr>
      </w:pPr>
      <w:r>
        <w:rPr>
          <w:spacing w:val="4"/>
        </w:rPr>
        <w:t>用户可以点击桌面上面证书管理工具，进入证书管理界面。</w:t>
      </w:r>
    </w:p>
    <w:p>
      <w:pPr>
        <w:ind w:firstLine="436"/>
        <w:rPr>
          <w:spacing w:val="4"/>
        </w:rPr>
      </w:pPr>
      <w:r>
        <w:rPr>
          <w:spacing w:val="4"/>
        </w:rPr>
        <w:t>口令相当于证书Key的密码，需要妥善保管，新发出的证书Key的密码是</w:t>
      </w:r>
      <w:r>
        <w:rPr>
          <w:rFonts w:hint="eastAsia"/>
          <w:spacing w:val="4"/>
          <w:lang w:val="en-US" w:eastAsia="zh-CN"/>
        </w:rPr>
        <w:t>123456</w:t>
      </w:r>
    </w:p>
    <w:p>
      <w:pPr>
        <w:pStyle w:val="43"/>
      </w:pPr>
      <w:r>
        <w:drawing>
          <wp:inline distT="0" distB="0" distL="114300" distR="114300">
            <wp:extent cx="5274945" cy="1889760"/>
            <wp:effectExtent l="0" t="0" r="1905" b="15240"/>
            <wp:docPr id="1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输入正确的旧口令和新口令，点击确认就可以修改密码了。请不要忘记您的密码，如果忘记，请到该项目CA发证中心进行密码的初始化。</w:t>
      </w:r>
    </w:p>
    <w:p>
      <w:pPr>
        <w:pStyle w:val="3"/>
        <w:tabs>
          <w:tab w:val="left" w:pos="567"/>
        </w:tabs>
        <w:rPr>
          <w:rFonts w:ascii="宋体" w:hAnsi="宋体"/>
        </w:rPr>
      </w:pPr>
      <w:bookmarkStart w:id="14" w:name="_Toc387148289"/>
      <w:bookmarkStart w:id="15" w:name="_Toc528742369"/>
      <w:bookmarkStart w:id="16" w:name="_Toc387133154"/>
      <w:r>
        <w:rPr>
          <w:rFonts w:ascii="宋体" w:hAnsi="宋体"/>
        </w:rPr>
        <w:t>浏览器配置</w:t>
      </w:r>
      <w:bookmarkEnd w:id="14"/>
      <w:bookmarkEnd w:id="15"/>
      <w:bookmarkEnd w:id="16"/>
    </w:p>
    <w:p>
      <w:pPr>
        <w:pStyle w:val="4"/>
        <w:tabs>
          <w:tab w:val="left" w:pos="567"/>
        </w:tabs>
        <w:ind w:left="862"/>
        <w:rPr>
          <w:rFonts w:ascii="宋体" w:hAnsi="宋体"/>
        </w:rPr>
      </w:pPr>
      <w:bookmarkStart w:id="17" w:name="_Toc387148290"/>
      <w:bookmarkStart w:id="18" w:name="_Toc387133155"/>
      <w:bookmarkStart w:id="19" w:name="_Toc528742370"/>
      <w:r>
        <w:rPr>
          <w:rFonts w:ascii="宋体" w:hAnsi="宋体"/>
        </w:rPr>
        <w:t>Internet选项</w:t>
      </w:r>
      <w:bookmarkEnd w:id="17"/>
      <w:bookmarkEnd w:id="18"/>
      <w:bookmarkEnd w:id="19"/>
    </w:p>
    <w:p>
      <w:pPr>
        <w:ind w:firstLine="436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为了让系统插件能够正常工作，请按照以下步骤进行浏览器的配置。</w:t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1</w:t>
      </w:r>
      <w:r>
        <w:rPr>
          <w:rFonts w:ascii="宋体" w:hAnsi="宋体"/>
          <w:spacing w:val="4"/>
        </w:rPr>
        <w:t>、打开浏览器，在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562350" cy="3152775"/>
            <wp:effectExtent l="0" t="0" r="0" b="9525"/>
            <wp:docPr id="1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2</w:t>
      </w:r>
      <w:r>
        <w:rPr>
          <w:rFonts w:ascii="宋体" w:hAnsi="宋体"/>
          <w:spacing w:val="4"/>
        </w:rPr>
        <w:t>、弹出对话框之后，请选择“安全”选项卡，具体的界面如下图：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914650" cy="3476625"/>
            <wp:effectExtent l="0" t="0" r="0" b="9525"/>
            <wp:docPr id="1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3</w:t>
      </w:r>
      <w:r>
        <w:rPr>
          <w:rFonts w:ascii="宋体" w:hAnsi="宋体"/>
          <w:spacing w:val="4"/>
        </w:rPr>
        <w:t>、点击绿色的“受信任的站点”的图片，会看到如下图所示的界面：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200400" cy="3819525"/>
            <wp:effectExtent l="0" t="0" r="0" b="9525"/>
            <wp:docPr id="1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4</w:t>
      </w:r>
      <w:r>
        <w:rPr>
          <w:rFonts w:ascii="宋体" w:hAnsi="宋体"/>
          <w:spacing w:val="4"/>
        </w:rPr>
        <w:t>、点击“站点” 按钮，出现如下对话框：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638550" cy="2990850"/>
            <wp:effectExtent l="0" t="0" r="0" b="0"/>
            <wp:docPr id="1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输入系统服务器的IP地址，格式例如：</w:t>
      </w:r>
      <w:r>
        <w:rPr>
          <w:spacing w:val="4"/>
        </w:rPr>
        <w:t>192</w:t>
      </w:r>
      <w:r>
        <w:rPr>
          <w:rFonts w:ascii="宋体" w:hAnsi="宋体"/>
          <w:spacing w:val="4"/>
        </w:rPr>
        <w:t>.</w:t>
      </w:r>
      <w:r>
        <w:rPr>
          <w:spacing w:val="4"/>
        </w:rPr>
        <w:t>168</w:t>
      </w:r>
      <w:r>
        <w:rPr>
          <w:rFonts w:ascii="宋体" w:hAnsi="宋体"/>
          <w:spacing w:val="4"/>
        </w:rPr>
        <w:t>.</w:t>
      </w:r>
      <w:r>
        <w:rPr>
          <w:spacing w:val="4"/>
        </w:rPr>
        <w:t>0</w:t>
      </w:r>
      <w:r>
        <w:rPr>
          <w:rFonts w:ascii="宋体" w:hAnsi="宋体"/>
          <w:spacing w:val="4"/>
        </w:rPr>
        <w:t>.</w:t>
      </w:r>
      <w:r>
        <w:rPr>
          <w:spacing w:val="4"/>
        </w:rPr>
        <w:t>123</w:t>
      </w:r>
      <w:r>
        <w:rPr>
          <w:rFonts w:ascii="宋体" w:hAnsi="宋体"/>
          <w:spacing w:val="4"/>
        </w:rPr>
        <w:t>，然后点击“添加”按钮完成添加，再按“关闭”按钮退出。</w:t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5</w:t>
      </w:r>
      <w:r>
        <w:rPr>
          <w:rFonts w:ascii="宋体" w:hAnsi="宋体"/>
          <w:spacing w:val="4"/>
        </w:rPr>
        <w:t>、设置自定义安全级别，开放Activex的访问权限：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371850" cy="4105275"/>
            <wp:effectExtent l="0" t="0" r="0" b="9525"/>
            <wp:docPr id="1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numPr>
          <w:ilvl w:val="0"/>
          <w:numId w:val="2"/>
        </w:numPr>
        <w:ind w:firstLineChars="0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会出现一个窗口，把其中的Activex控件和插件的设置全部改为启用。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400425" cy="3629025"/>
            <wp:effectExtent l="0" t="0" r="9525" b="9525"/>
            <wp:docPr id="1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rFonts w:hint="eastAsia" w:ascii="宋体" w:hAnsi="宋体" w:cs="宋体"/>
          <w:spacing w:val="4"/>
        </w:rPr>
        <w:t>②</w:t>
      </w:r>
      <w:r>
        <w:rPr>
          <w:rFonts w:ascii="宋体" w:hAnsi="宋体"/>
          <w:spacing w:val="4"/>
        </w:rPr>
        <w:t>文件下载设置，开放文件下载的权限：设置为启用。</w:t>
      </w:r>
    </w:p>
    <w:p>
      <w:pPr>
        <w:pStyle w:val="43"/>
        <w:rPr>
          <w:rFonts w:ascii="宋体" w:hAnsi="宋体"/>
          <w:szCs w:val="21"/>
        </w:rPr>
      </w:pPr>
      <w:r>
        <w:rPr>
          <w:rFonts w:ascii="宋体" w:hAnsi="宋体"/>
        </w:rPr>
        <w:drawing>
          <wp:inline distT="0" distB="0" distL="114300" distR="114300">
            <wp:extent cx="3533775" cy="3695700"/>
            <wp:effectExtent l="0" t="0" r="9525" b="0"/>
            <wp:docPr id="1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1"/>
        </w:rPr>
      </w:pPr>
    </w:p>
    <w:p>
      <w:pPr>
        <w:pStyle w:val="4"/>
        <w:tabs>
          <w:tab w:val="left" w:pos="567"/>
        </w:tabs>
        <w:ind w:left="862"/>
        <w:rPr>
          <w:rFonts w:ascii="宋体" w:hAnsi="宋体"/>
        </w:rPr>
      </w:pPr>
      <w:bookmarkStart w:id="20" w:name="_Toc387148291"/>
      <w:bookmarkStart w:id="21" w:name="_Toc528742371"/>
      <w:bookmarkStart w:id="22" w:name="_Toc387133156"/>
      <w:r>
        <w:rPr>
          <w:rFonts w:ascii="宋体" w:hAnsi="宋体"/>
        </w:rPr>
        <w:t>关闭拦截工具</w:t>
      </w:r>
      <w:bookmarkEnd w:id="20"/>
      <w:bookmarkEnd w:id="21"/>
      <w:bookmarkEnd w:id="22"/>
    </w:p>
    <w:p>
      <w:pPr>
        <w:ind w:firstLine="436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42"/>
        <w:ind w:firstLine="480" w:firstLineChars="200"/>
      </w:pPr>
      <w:r>
        <w:rPr>
          <w:rFonts w:ascii="宋体" w:hAnsi="宋体"/>
        </w:rPr>
        <w:drawing>
          <wp:inline distT="0" distB="0" distL="114300" distR="114300">
            <wp:extent cx="5095875" cy="2324100"/>
            <wp:effectExtent l="0" t="0" r="9525" b="0"/>
            <wp:docPr id="1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</w:p>
    <w:bookmarkEnd w:id="5"/>
    <w:bookmarkEnd w:id="6"/>
    <w:bookmarkEnd w:id="7"/>
    <w:p>
      <w:pPr>
        <w:spacing w:line="360" w:lineRule="auto"/>
        <w:jc w:val="left"/>
      </w:pPr>
      <w:bookmarkStart w:id="38" w:name="_GoBack"/>
      <w:bookmarkEnd w:id="38"/>
    </w:p>
    <w:p>
      <w:pPr>
        <w:pStyle w:val="2"/>
      </w:pPr>
      <w:r>
        <w:rPr>
          <w:rFonts w:hint="eastAsia"/>
          <w:lang w:val="en-US" w:eastAsia="zh-CN"/>
        </w:rPr>
        <w:t>综合交易</w:t>
      </w:r>
    </w:p>
    <w:p>
      <w:pPr>
        <w:pStyle w:val="3"/>
      </w:pPr>
      <w:r>
        <w:rPr>
          <w:rFonts w:hint="eastAsia"/>
          <w:lang w:val="en-US" w:eastAsia="zh-CN"/>
        </w:rPr>
        <w:t>项目管理</w:t>
      </w:r>
    </w:p>
    <w:p>
      <w:pPr>
        <w:pStyle w:val="4"/>
        <w:rPr>
          <w:spacing w:val="4"/>
        </w:rPr>
      </w:pPr>
      <w:bookmarkStart w:id="23" w:name="_Toc528742534"/>
      <w:bookmarkStart w:id="24" w:name="_Toc1872"/>
      <w:bookmarkStart w:id="25" w:name="_Toc346701629"/>
      <w:r>
        <w:rPr>
          <w:rFonts w:hint="eastAsia"/>
        </w:rPr>
        <w:t>项目注册</w:t>
      </w:r>
      <w:bookmarkEnd w:id="23"/>
    </w:p>
    <w:p>
      <w:pPr>
        <w:rPr>
          <w:rFonts w:hint="eastAsia"/>
        </w:rPr>
      </w:pPr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752475" cy="304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按钮，新建项目，如实填写项目信息后点击</w:t>
      </w:r>
      <w:r>
        <w:drawing>
          <wp:inline distT="0" distB="0" distL="114300" distR="114300">
            <wp:extent cx="781050" cy="257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pPr>
        <w:rPr>
          <w:rFonts w:hint="eastAsia"/>
        </w:rPr>
      </w:pPr>
    </w:p>
    <w:p>
      <w:pPr>
        <w:rPr>
          <w:b/>
          <w:bCs/>
        </w:rPr>
      </w:pPr>
      <w:r>
        <w:drawing>
          <wp:inline distT="0" distB="0" distL="114300" distR="114300">
            <wp:extent cx="5268595" cy="1982470"/>
            <wp:effectExtent l="0" t="0" r="8255" b="177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281555"/>
            <wp:effectExtent l="0" t="0" r="6985" b="4445"/>
            <wp:docPr id="1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bookmarkEnd w:id="24"/>
    <w:bookmarkEnd w:id="25"/>
    <w:p>
      <w:pPr>
        <w:pStyle w:val="4"/>
      </w:pPr>
      <w:bookmarkStart w:id="26" w:name="_Toc528742535"/>
      <w:r>
        <w:rPr>
          <w:rFonts w:hint="eastAsia"/>
          <w:lang w:val="en-US" w:eastAsia="zh-CN"/>
        </w:rPr>
        <w:t>项目</w:t>
      </w:r>
      <w:r>
        <w:rPr>
          <w:rFonts w:hint="eastAsia"/>
        </w:rPr>
        <w:t>分包</w:t>
      </w:r>
      <w:bookmarkEnd w:id="26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95375" cy="238125"/>
            <wp:effectExtent l="0" t="0" r="9525" b="9525"/>
            <wp:docPr id="1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按钮，挑选需要</w:t>
      </w:r>
      <w:r>
        <w:rPr>
          <w:rFonts w:hint="eastAsia"/>
          <w:lang w:val="en-US" w:eastAsia="zh-CN"/>
        </w:rPr>
        <w:t>新建标段</w:t>
      </w:r>
      <w:r>
        <w:rPr>
          <w:rFonts w:hint="eastAsia"/>
        </w:rPr>
        <w:t>的项目，进入新建发包页面</w:t>
      </w:r>
    </w:p>
    <w:p>
      <w:r>
        <w:drawing>
          <wp:inline distT="0" distB="0" distL="114300" distR="114300">
            <wp:extent cx="5262245" cy="2052955"/>
            <wp:effectExtent l="0" t="0" r="14605" b="4445"/>
            <wp:docPr id="1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2280285"/>
            <wp:effectExtent l="0" t="0" r="13335" b="5715"/>
            <wp:docPr id="1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= 2 \* GB3 \* MERGEFORMAT </w:instrText>
      </w:r>
      <w:r>
        <w:fldChar w:fldCharType="separate"/>
      </w:r>
      <w:r>
        <w:t>②</w:t>
      </w:r>
      <w:r>
        <w:fldChar w:fldCharType="end"/>
      </w:r>
      <w:r>
        <w:rPr>
          <w:rFonts w:hint="eastAsia"/>
        </w:rPr>
        <w:t>完善初步发包信息</w:t>
      </w:r>
      <w:r>
        <w:rPr>
          <w:rFonts w:hint="eastAsia"/>
          <w:lang w:eastAsia="zh-CN"/>
        </w:rPr>
        <w:t>，</w:t>
      </w:r>
      <w:r>
        <w:rPr>
          <w:rFonts w:hint="eastAsia"/>
        </w:rPr>
        <w:t>信息全部完善确认无误后，点击</w:t>
      </w:r>
      <w:r>
        <w:drawing>
          <wp:inline distT="0" distB="0" distL="114300" distR="114300">
            <wp:extent cx="742950" cy="228600"/>
            <wp:effectExtent l="0" t="0" r="0" b="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按钮，签署意见并提交</w:t>
      </w:r>
      <w:r>
        <w:rPr>
          <w:rFonts w:hint="eastAsia"/>
          <w:lang w:val="en-US" w:eastAsia="zh-CN"/>
        </w:rPr>
        <w:t>备案</w:t>
      </w:r>
    </w:p>
    <w:p>
      <w:r>
        <w:drawing>
          <wp:inline distT="0" distB="0" distL="114300" distR="114300">
            <wp:extent cx="5272405" cy="2242820"/>
            <wp:effectExtent l="0" t="0" r="4445" b="5080"/>
            <wp:docPr id="1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</w:pPr>
    </w:p>
    <w:p>
      <w:pPr>
        <w:pStyle w:val="3"/>
      </w:pPr>
      <w:r>
        <w:rPr>
          <w:rFonts w:hint="eastAsia"/>
          <w:lang w:val="en-US" w:eastAsia="zh-CN"/>
        </w:rPr>
        <w:t>交易前</w:t>
      </w:r>
    </w:p>
    <w:p>
      <w:pPr>
        <w:pStyle w:val="4"/>
      </w:pPr>
      <w:bookmarkStart w:id="27" w:name="_Toc528742541"/>
      <w:bookmarkStart w:id="28" w:name="_Toc528742538"/>
      <w:r>
        <w:rPr>
          <w:rFonts w:hint="eastAsia"/>
        </w:rPr>
        <w:t>开评标场地预约</w:t>
      </w:r>
      <w:bookmarkEnd w:id="27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19175" cy="247650"/>
            <wp:effectExtent l="0" t="0" r="9525" b="0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按钮，挑选需要预约场地的标段（同一项目招标方式相同的标段可以一起预约），进入新增开评标场地预约页面（</w:t>
      </w:r>
      <w:r>
        <w:rPr>
          <w:rFonts w:hint="eastAsia"/>
          <w:b/>
          <w:bCs/>
          <w:spacing w:val="4"/>
        </w:rPr>
        <w:t>注:场地预约必须前往电子服务平台进行预收费登记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8595" cy="2025015"/>
            <wp:effectExtent l="0" t="0" r="8255" b="13335"/>
            <wp:docPr id="1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703830"/>
            <wp:effectExtent l="0" t="0" r="2540" b="127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2736850"/>
            <wp:effectExtent l="0" t="0" r="15240" b="635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选择开标时间后，会展示开评标场地使用信息</w:t>
      </w:r>
    </w:p>
    <w:p>
      <w:r>
        <w:drawing>
          <wp:inline distT="0" distB="0" distL="114300" distR="114300">
            <wp:extent cx="5269865" cy="1364615"/>
            <wp:effectExtent l="0" t="0" r="6985" b="698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640330"/>
            <wp:effectExtent l="0" t="0" r="12065" b="762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选择好开评标场地，点击</w:t>
      </w:r>
      <w:r>
        <w:drawing>
          <wp:inline distT="0" distB="0" distL="114300" distR="114300">
            <wp:extent cx="752475" cy="228600"/>
            <wp:effectExtent l="0" t="0" r="9525" b="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r>
        <w:drawing>
          <wp:inline distT="0" distB="0" distL="114300" distR="114300">
            <wp:extent cx="5271135" cy="2677160"/>
            <wp:effectExtent l="0" t="0" r="5715" b="8890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9" w:name="_Toc528742542"/>
      <w:r>
        <w:rPr>
          <w:rFonts w:hint="eastAsia"/>
        </w:rPr>
        <w:t>开评标场地变更</w:t>
      </w:r>
      <w:bookmarkEnd w:id="29"/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371600" cy="238125"/>
            <wp:effectExtent l="0" t="0" r="0" b="9525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按钮，可以对已预约场地的标段变更开评标时间和开评标场地，功能参照场地预约。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8595" cy="1978660"/>
            <wp:effectExtent l="0" t="0" r="8255" b="2540"/>
            <wp:docPr id="1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招标公告和文件</w:t>
      </w:r>
      <w:bookmarkEnd w:id="28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438275" cy="257175"/>
            <wp:effectExtent l="0" t="0" r="9525" b="9525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按钮，挑选需要发公告的标段，进入新增招标公告及文件信息页面（</w:t>
      </w:r>
      <w:r>
        <w:rPr>
          <w:rFonts w:hint="eastAsia"/>
          <w:b/>
          <w:bCs/>
        </w:rPr>
        <w:t>注：此处有逻辑关系，先预约场地后发公告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4785" cy="1936115"/>
            <wp:effectExtent l="0" t="0" r="12065" b="6985"/>
            <wp:docPr id="1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780665"/>
            <wp:effectExtent l="0" t="0" r="14605" b="635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80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完善招标公告和文件信息，公告内容须如实填写</w:t>
      </w:r>
    </w:p>
    <w:p>
      <w:r>
        <w:drawing>
          <wp:inline distT="0" distB="0" distL="114300" distR="114300">
            <wp:extent cx="5266055" cy="2566670"/>
            <wp:effectExtent l="0" t="0" r="10795" b="5080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6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185670"/>
            <wp:effectExtent l="0" t="0" r="10795" b="5080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081405"/>
            <wp:effectExtent l="0" t="0" r="8890" b="4445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招标文件必传，完善好信息后，点击</w:t>
      </w:r>
      <w:r>
        <w:drawing>
          <wp:inline distT="0" distB="0" distL="114300" distR="114300">
            <wp:extent cx="714375" cy="257175"/>
            <wp:effectExtent l="0" t="0" r="9525" b="9525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r>
        <w:drawing>
          <wp:inline distT="0" distB="0" distL="114300" distR="114300">
            <wp:extent cx="5268595" cy="585470"/>
            <wp:effectExtent l="0" t="0" r="8255" b="5080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552065"/>
            <wp:effectExtent l="0" t="0" r="13970" b="635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4"/>
      </w:pPr>
      <w:bookmarkStart w:id="30" w:name="_Toc528742543"/>
      <w:r>
        <w:rPr>
          <w:rFonts w:hint="eastAsia"/>
        </w:rPr>
        <w:t>答疑澄清文件</w:t>
      </w:r>
      <w:bookmarkEnd w:id="30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257300" cy="219075"/>
            <wp:effectExtent l="0" t="0" r="0" b="9525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按钮，挑选标段进入新增答疑澄清文件页面</w:t>
      </w:r>
    </w:p>
    <w:p>
      <w:r>
        <w:drawing>
          <wp:inline distT="0" distB="0" distL="114300" distR="114300">
            <wp:extent cx="5268595" cy="1924685"/>
            <wp:effectExtent l="0" t="0" r="8255" b="18415"/>
            <wp:docPr id="1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703830"/>
            <wp:effectExtent l="0" t="0" r="3810" b="1270"/>
            <wp:docPr id="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2736850"/>
            <wp:effectExtent l="0" t="0" r="15240" b="6350"/>
            <wp:docPr id="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澄清与修改内容处可以变更开标时间，答疑澄清文件必须上传</w:t>
      </w:r>
    </w:p>
    <w:p>
      <w:r>
        <w:drawing>
          <wp:inline distT="0" distB="0" distL="114300" distR="114300">
            <wp:extent cx="5270500" cy="1573530"/>
            <wp:effectExtent l="0" t="0" r="6350" b="7620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538480"/>
            <wp:effectExtent l="0" t="0" r="10795" b="13970"/>
            <wp:docPr id="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3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完善信息后，点击</w:t>
      </w:r>
      <w:r>
        <w:drawing>
          <wp:inline distT="0" distB="0" distL="114300" distR="114300">
            <wp:extent cx="476250" cy="209550"/>
            <wp:effectExtent l="0" t="0" r="0" b="0"/>
            <wp:docPr id="6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r>
        <w:drawing>
          <wp:inline distT="0" distB="0" distL="114300" distR="114300">
            <wp:extent cx="5271135" cy="2586990"/>
            <wp:effectExtent l="0" t="0" r="5715" b="3810"/>
            <wp:docPr id="6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ind w:left="0" w:firstLine="0"/>
      </w:pPr>
      <w:bookmarkStart w:id="31" w:name="_Toc393"/>
      <w:bookmarkStart w:id="32" w:name="_Toc346701640"/>
      <w:bookmarkStart w:id="33" w:name="_Toc528742545"/>
      <w:r>
        <w:t>开标</w:t>
      </w:r>
      <w:bookmarkEnd w:id="31"/>
      <w:bookmarkEnd w:id="32"/>
      <w:r>
        <w:rPr>
          <w:rFonts w:hint="eastAsia"/>
        </w:rPr>
        <w:t>评标</w:t>
      </w:r>
      <w:bookmarkEnd w:id="33"/>
    </w:p>
    <w:p>
      <w:pPr>
        <w:pStyle w:val="4"/>
      </w:pPr>
      <w:bookmarkStart w:id="34" w:name="_Toc528742546"/>
      <w:r>
        <w:rPr>
          <w:rFonts w:hint="eastAsia"/>
        </w:rPr>
        <w:t>开标情况</w:t>
      </w:r>
      <w:bookmarkEnd w:id="34"/>
    </w:p>
    <w:p>
      <w:pPr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  <w:lang w:val="en-US" w:eastAsia="zh-CN"/>
        </w:rPr>
        <w:t>主要用于查看评标信息</w:t>
      </w:r>
    </w:p>
    <w:p>
      <w:r>
        <w:drawing>
          <wp:inline distT="0" distB="0" distL="114300" distR="114300">
            <wp:extent cx="5274310" cy="1859915"/>
            <wp:effectExtent l="0" t="0" r="2540" b="6985"/>
            <wp:docPr id="1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rPr>
          <w:spacing w:val="4"/>
        </w:rPr>
      </w:pPr>
      <w:bookmarkStart w:id="35" w:name="_Toc528742547"/>
      <w:r>
        <w:rPr>
          <w:rFonts w:hint="eastAsia"/>
        </w:rPr>
        <w:t>评标情况</w:t>
      </w:r>
      <w:bookmarkEnd w:id="35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466725" cy="323850"/>
            <wp:effectExtent l="0" t="0" r="9525" b="0"/>
            <wp:docPr id="7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按钮，查看评标情况</w:t>
      </w:r>
    </w:p>
    <w:p>
      <w:r>
        <w:drawing>
          <wp:inline distT="0" distB="0" distL="114300" distR="114300">
            <wp:extent cx="5268595" cy="1897380"/>
            <wp:effectExtent l="0" t="0" r="8255" b="7620"/>
            <wp:docPr id="1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026920"/>
            <wp:effectExtent l="0" t="0" r="5715" b="11430"/>
            <wp:docPr id="7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2 \* GB3 \* MERGEFORMAT </w:instrText>
      </w:r>
      <w:r>
        <w:fldChar w:fldCharType="separate"/>
      </w:r>
      <w:r>
        <w:t>②</w:t>
      </w:r>
      <w:r>
        <w:fldChar w:fldCharType="end"/>
      </w:r>
      <w:r>
        <w:rPr>
          <w:rFonts w:hint="eastAsia"/>
        </w:rPr>
        <w:t>如实填写评标信息并保存</w:t>
      </w:r>
    </w:p>
    <w:p/>
    <w:p>
      <w:r>
        <w:drawing>
          <wp:inline distT="0" distB="0" distL="114300" distR="114300">
            <wp:extent cx="5274310" cy="2020570"/>
            <wp:effectExtent l="0" t="0" r="2540" b="17780"/>
            <wp:docPr id="7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3 \* GB3 \* MERGEFORMAT </w:instrText>
      </w:r>
      <w:r>
        <w:fldChar w:fldCharType="separate"/>
      </w:r>
      <w:r>
        <w:t>③</w:t>
      </w:r>
      <w:r>
        <w:fldChar w:fldCharType="end"/>
      </w:r>
      <w:r>
        <w:rPr>
          <w:rFonts w:hint="eastAsia"/>
        </w:rPr>
        <w:t>录入评标结果，点击</w:t>
      </w:r>
      <w:r>
        <w:drawing>
          <wp:inline distT="0" distB="0" distL="114300" distR="114300">
            <wp:extent cx="762000" cy="266700"/>
            <wp:effectExtent l="0" t="0" r="0" b="0"/>
            <wp:docPr id="8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按钮，结束评标</w:t>
      </w:r>
    </w:p>
    <w:p>
      <w:r>
        <w:drawing>
          <wp:inline distT="0" distB="0" distL="114300" distR="114300">
            <wp:extent cx="5264150" cy="2189480"/>
            <wp:effectExtent l="0" t="0" r="12700" b="1270"/>
            <wp:docPr id="8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firstLine="0"/>
      </w:pPr>
      <w:r>
        <w:rPr>
          <w:rFonts w:hint="eastAsia"/>
          <w:lang w:val="en-US" w:eastAsia="zh-CN"/>
        </w:rPr>
        <w:t>交易后</w:t>
      </w:r>
    </w:p>
    <w:p/>
    <w:p>
      <w:pPr>
        <w:pStyle w:val="4"/>
      </w:pPr>
      <w:bookmarkStart w:id="36" w:name="_Toc528742550"/>
      <w:r>
        <w:rPr>
          <w:rFonts w:hint="eastAsia"/>
        </w:rPr>
        <w:t>中标公告</w:t>
      </w:r>
      <w:bookmarkEnd w:id="36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114425" cy="266700"/>
            <wp:effectExtent l="0" t="0" r="9525" b="0"/>
            <wp:docPr id="1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按钮，挑选标段进入新增中标结果公告页面</w:t>
      </w:r>
    </w:p>
    <w:p>
      <w:r>
        <w:drawing>
          <wp:inline distT="0" distB="0" distL="114300" distR="114300">
            <wp:extent cx="5268595" cy="1889760"/>
            <wp:effectExtent l="0" t="0" r="8255" b="15240"/>
            <wp:docPr id="1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715895"/>
            <wp:effectExtent l="0" t="0" r="2540" b="8255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733675"/>
            <wp:effectExtent l="0" t="0" r="7620" b="9525"/>
            <wp:docPr id="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新增中标单位，并完善中标信息</w:t>
      </w:r>
    </w:p>
    <w:p/>
    <w:p>
      <w:r>
        <w:drawing>
          <wp:inline distT="0" distB="0" distL="114300" distR="114300">
            <wp:extent cx="5266055" cy="2246630"/>
            <wp:effectExtent l="0" t="0" r="10795" b="1270"/>
            <wp:docPr id="1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3 \* GB3 \* MERGEFORMAT </w:instrText>
      </w:r>
      <w:r>
        <w:fldChar w:fldCharType="separate"/>
      </w:r>
      <w:r>
        <w:t>③</w:t>
      </w:r>
      <w:r>
        <w:fldChar w:fldCharType="end"/>
      </w:r>
      <w:r>
        <w:rPr>
          <w:rFonts w:hint="eastAsia"/>
        </w:rPr>
        <w:t>填写公告信息和内容，对公告内容签章，最后点击</w:t>
      </w:r>
      <w:r>
        <w:drawing>
          <wp:inline distT="0" distB="0" distL="114300" distR="114300">
            <wp:extent cx="742950" cy="247650"/>
            <wp:effectExtent l="0" t="0" r="0" b="0"/>
            <wp:docPr id="10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</w:t>
      </w:r>
    </w:p>
    <w:p>
      <w:r>
        <w:drawing>
          <wp:inline distT="0" distB="0" distL="114300" distR="114300">
            <wp:extent cx="5272405" cy="916940"/>
            <wp:effectExtent l="0" t="0" r="4445" b="16510"/>
            <wp:docPr id="1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075180"/>
            <wp:effectExtent l="0" t="0" r="13335" b="1270"/>
            <wp:docPr id="10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2171065"/>
            <wp:effectExtent l="0" t="0" r="12700" b="635"/>
            <wp:docPr id="1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7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4"/>
      </w:pPr>
      <w:bookmarkStart w:id="37" w:name="_Toc528742554"/>
      <w:r>
        <w:rPr>
          <w:rFonts w:hint="eastAsia"/>
        </w:rPr>
        <w:t>招标异常</w:t>
      </w:r>
      <w:bookmarkEnd w:id="37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19175" cy="257175"/>
            <wp:effectExtent l="0" t="0" r="9525" b="9525"/>
            <wp:docPr id="9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按钮，挑选异常标段进入新增标段异常页面</w:t>
      </w:r>
    </w:p>
    <w:p>
      <w:r>
        <w:drawing>
          <wp:inline distT="0" distB="0" distL="114300" distR="114300">
            <wp:extent cx="5269865" cy="2010410"/>
            <wp:effectExtent l="0" t="0" r="6985" b="8890"/>
            <wp:docPr id="1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731135"/>
            <wp:effectExtent l="0" t="0" r="6350" b="12065"/>
            <wp:docPr id="1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740660"/>
            <wp:effectExtent l="0" t="0" r="7620" b="2540"/>
            <wp:docPr id="1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2 \* GB3 \* MERGEFORMAT </w:instrText>
      </w:r>
      <w:r>
        <w:fldChar w:fldCharType="separate"/>
      </w:r>
      <w:r>
        <w:t>②</w:t>
      </w:r>
      <w:r>
        <w:fldChar w:fldCharType="end"/>
      </w:r>
      <w:r>
        <w:rPr>
          <w:rFonts w:hint="eastAsia"/>
        </w:rPr>
        <w:t>完善页面信息，确认无误后，点击</w:t>
      </w:r>
      <w:r>
        <w:drawing>
          <wp:inline distT="0" distB="0" distL="114300" distR="114300">
            <wp:extent cx="762000" cy="238125"/>
            <wp:effectExtent l="0" t="0" r="0" b="9525"/>
            <wp:docPr id="11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按钮，签署意见后并提交审核。</w:t>
      </w:r>
    </w:p>
    <w:p>
      <w:r>
        <w:drawing>
          <wp:inline distT="0" distB="0" distL="114300" distR="114300">
            <wp:extent cx="5263515" cy="1536065"/>
            <wp:effectExtent l="0" t="0" r="13335" b="6985"/>
            <wp:docPr id="1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jc w:val="center"/>
      <w:rPr>
        <w:i/>
        <w:iCs/>
        <w:color w:val="8C8C8C"/>
      </w:rPr>
    </w:pPr>
    <w:r>
      <w:t>国泰新点软件</w:t>
    </w:r>
    <w:r>
      <w:rPr>
        <w:rFonts w:hint="eastAsia"/>
        <w:lang w:eastAsia="zh-CN"/>
      </w:rPr>
      <w:t>股份</w:t>
    </w:r>
    <w:r>
      <w:t>有限公司</w:t>
    </w:r>
    <w:r>
      <w:rPr>
        <w:rFonts w:hint="eastAsia"/>
      </w:rPr>
      <w:t xml:space="preserve">              </w:t>
    </w:r>
    <w:r>
      <w:t xml:space="preserve"> </w:t>
    </w:r>
    <w:r>
      <w:rPr>
        <w:lang w:val="zh-CN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50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ascii="宋体" w:hAnsi="宋体"/>
      </w:rPr>
      <w:pict>
        <v:shape id="_x0000_i1025" o:spt="75" type="#_x0000_t75" style="height:24pt;width:47.2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 w:ascii="Cambria" w:hAnsi="Cambria"/>
      </w:rPr>
      <w:t>操作手册</w:t>
    </w:r>
    <w:r>
      <w:rPr>
        <w:rFonts w:hint="eastAsia" w:ascii="宋体" w:hAnsi="宋体"/>
      </w:rPr>
      <w:t xml:space="preserve">                   </w:t>
    </w:r>
    <w:r>
      <w:t xml:space="preserve">       CS-XM-</w:t>
    </w:r>
    <w:r>
      <w:rPr>
        <w:rFonts w:hint="eastAsia"/>
      </w:rPr>
      <w:t>CZSC</w:t>
    </w:r>
    <w:r>
      <w:rPr>
        <w:color w:val="000000"/>
      </w:rPr>
      <w:t>张家港市</w:t>
    </w:r>
    <w:r>
      <w:rPr>
        <w:rFonts w:hint="eastAsia" w:eastAsia="微软雅黑"/>
        <w:color w:val="000000"/>
      </w:rPr>
      <w:t>2013021904</w:t>
    </w:r>
    <w:r>
      <w:rPr>
        <w:color w:val="000000"/>
      </w:rPr>
      <w:t>-</w:t>
    </w:r>
    <w:r>
      <w:rPr>
        <w:rFonts w:hint="eastAsia"/>
        <w:color w:val="000000"/>
      </w:rPr>
      <w:t>ZFCG0</w:t>
    </w:r>
    <w:r>
      <w:rPr>
        <w:color w:val="000000"/>
      </w:rPr>
      <w:t>0</w:t>
    </w:r>
    <w:r>
      <w:rPr>
        <w:rFonts w:hint="eastAsia"/>
        <w:color w:val="000000"/>
      </w:rPr>
      <w:t>1</w:t>
    </w:r>
    <w:r>
      <w:t xml:space="preserve">  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3CDB"/>
    <w:multiLevelType w:val="multilevel"/>
    <w:tmpl w:val="0B363CDB"/>
    <w:lvl w:ilvl="0" w:tentative="0">
      <w:start w:val="1"/>
      <w:numFmt w:val="decimalEnclosedCircle"/>
      <w:lvlText w:val="%1"/>
      <w:lvlJc w:val="left"/>
      <w:pPr>
        <w:ind w:left="796" w:hanging="360"/>
      </w:pPr>
      <w:rPr>
        <w:rFonts w:hint="default" w:cs="宋体"/>
      </w:rPr>
    </w:lvl>
    <w:lvl w:ilvl="1" w:tentative="0">
      <w:start w:val="1"/>
      <w:numFmt w:val="lowerLetter"/>
      <w:lvlText w:val="%2)"/>
      <w:lvlJc w:val="left"/>
      <w:pPr>
        <w:ind w:left="1276" w:hanging="420"/>
      </w:pPr>
    </w:lvl>
    <w:lvl w:ilvl="2" w:tentative="0">
      <w:start w:val="1"/>
      <w:numFmt w:val="lowerRoman"/>
      <w:lvlText w:val="%3."/>
      <w:lvlJc w:val="right"/>
      <w:pPr>
        <w:ind w:left="1696" w:hanging="420"/>
      </w:pPr>
    </w:lvl>
    <w:lvl w:ilvl="3" w:tentative="0">
      <w:start w:val="1"/>
      <w:numFmt w:val="decimal"/>
      <w:lvlText w:val="%4."/>
      <w:lvlJc w:val="left"/>
      <w:pPr>
        <w:ind w:left="2116" w:hanging="420"/>
      </w:pPr>
    </w:lvl>
    <w:lvl w:ilvl="4" w:tentative="0">
      <w:start w:val="1"/>
      <w:numFmt w:val="lowerLetter"/>
      <w:lvlText w:val="%5)"/>
      <w:lvlJc w:val="left"/>
      <w:pPr>
        <w:ind w:left="2536" w:hanging="420"/>
      </w:pPr>
    </w:lvl>
    <w:lvl w:ilvl="5" w:tentative="0">
      <w:start w:val="1"/>
      <w:numFmt w:val="lowerRoman"/>
      <w:lvlText w:val="%6."/>
      <w:lvlJc w:val="right"/>
      <w:pPr>
        <w:ind w:left="2956" w:hanging="420"/>
      </w:pPr>
    </w:lvl>
    <w:lvl w:ilvl="6" w:tentative="0">
      <w:start w:val="1"/>
      <w:numFmt w:val="decimal"/>
      <w:lvlText w:val="%7."/>
      <w:lvlJc w:val="left"/>
      <w:pPr>
        <w:ind w:left="3376" w:hanging="420"/>
      </w:pPr>
    </w:lvl>
    <w:lvl w:ilvl="7" w:tentative="0">
      <w:start w:val="1"/>
      <w:numFmt w:val="lowerLetter"/>
      <w:lvlText w:val="%8)"/>
      <w:lvlJc w:val="left"/>
      <w:pPr>
        <w:ind w:left="3796" w:hanging="420"/>
      </w:pPr>
    </w:lvl>
    <w:lvl w:ilvl="8" w:tentative="0">
      <w:start w:val="1"/>
      <w:numFmt w:val="lowerRoman"/>
      <w:lvlText w:val="%9."/>
      <w:lvlJc w:val="right"/>
      <w:pPr>
        <w:ind w:left="4216" w:hanging="420"/>
      </w:pPr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920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CB0CB8"/>
    <w:rsid w:val="000650B6"/>
    <w:rsid w:val="00177267"/>
    <w:rsid w:val="00193B70"/>
    <w:rsid w:val="002D7D17"/>
    <w:rsid w:val="003715C1"/>
    <w:rsid w:val="00391906"/>
    <w:rsid w:val="00395CB1"/>
    <w:rsid w:val="003D7FF1"/>
    <w:rsid w:val="003E2AB9"/>
    <w:rsid w:val="00402490"/>
    <w:rsid w:val="004941EE"/>
    <w:rsid w:val="004F0BB3"/>
    <w:rsid w:val="00551707"/>
    <w:rsid w:val="00694F90"/>
    <w:rsid w:val="0075739E"/>
    <w:rsid w:val="00781D77"/>
    <w:rsid w:val="007978DA"/>
    <w:rsid w:val="007D5A7F"/>
    <w:rsid w:val="00816023"/>
    <w:rsid w:val="008D13C6"/>
    <w:rsid w:val="009472DC"/>
    <w:rsid w:val="009C6EE9"/>
    <w:rsid w:val="00A648E8"/>
    <w:rsid w:val="00A64FDF"/>
    <w:rsid w:val="00A839A8"/>
    <w:rsid w:val="00B4034C"/>
    <w:rsid w:val="00B52F04"/>
    <w:rsid w:val="00BB32D4"/>
    <w:rsid w:val="00BC548C"/>
    <w:rsid w:val="00BE5B0F"/>
    <w:rsid w:val="00C17C3F"/>
    <w:rsid w:val="00CB0CB8"/>
    <w:rsid w:val="00D139E4"/>
    <w:rsid w:val="00D952CA"/>
    <w:rsid w:val="00DD08B4"/>
    <w:rsid w:val="00E11E29"/>
    <w:rsid w:val="00E85948"/>
    <w:rsid w:val="00EF547B"/>
    <w:rsid w:val="00F16787"/>
    <w:rsid w:val="00F21D18"/>
    <w:rsid w:val="00F22B94"/>
    <w:rsid w:val="00F956A1"/>
    <w:rsid w:val="00FD5AE4"/>
    <w:rsid w:val="0F6F4DCB"/>
    <w:rsid w:val="129A0023"/>
    <w:rsid w:val="16553EC8"/>
    <w:rsid w:val="1DAB63DF"/>
    <w:rsid w:val="21102A83"/>
    <w:rsid w:val="239D4BBF"/>
    <w:rsid w:val="2B1F51CE"/>
    <w:rsid w:val="2D013E33"/>
    <w:rsid w:val="373D2E5A"/>
    <w:rsid w:val="40463454"/>
    <w:rsid w:val="46A72995"/>
    <w:rsid w:val="52E67629"/>
    <w:rsid w:val="595D76A7"/>
    <w:rsid w:val="67FB6613"/>
    <w:rsid w:val="6A4D501A"/>
    <w:rsid w:val="71760BDC"/>
    <w:rsid w:val="75234E71"/>
    <w:rsid w:val="76B04F30"/>
    <w:rsid w:val="7CCB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7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8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9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30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1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41"/>
    <w:semiHidden/>
    <w:unhideWhenUsed/>
    <w:qFormat/>
    <w:uiPriority w:val="99"/>
    <w:rPr>
      <w:rFonts w:ascii="宋体"/>
      <w:sz w:val="18"/>
      <w:szCs w:val="18"/>
    </w:rPr>
  </w:style>
  <w:style w:type="paragraph" w:styleId="10">
    <w:name w:val="Body Text Indent"/>
    <w:basedOn w:val="1"/>
    <w:link w:val="34"/>
    <w:qFormat/>
    <w:uiPriority w:val="0"/>
    <w:pPr>
      <w:spacing w:after="120"/>
      <w:ind w:left="420" w:leftChars="200"/>
    </w:pPr>
  </w:style>
  <w:style w:type="paragraph" w:styleId="11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2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3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4">
    <w:name w:val="Balloon Text"/>
    <w:basedOn w:val="1"/>
    <w:link w:val="38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18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19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1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2">
    <w:name w:val="Title"/>
    <w:basedOn w:val="1"/>
    <w:next w:val="1"/>
    <w:link w:val="40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character" w:styleId="25">
    <w:name w:val="Hyperlink"/>
    <w:basedOn w:val="24"/>
    <w:unhideWhenUsed/>
    <w:qFormat/>
    <w:uiPriority w:val="99"/>
    <w:rPr>
      <w:color w:val="0000FF"/>
      <w:u w:val="single"/>
    </w:rPr>
  </w:style>
  <w:style w:type="character" w:customStyle="1" w:styleId="26">
    <w:name w:val="标题 1 Char"/>
    <w:basedOn w:val="24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27">
    <w:name w:val="标题 2 Char"/>
    <w:basedOn w:val="24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8">
    <w:name w:val="标题 3 Char"/>
    <w:basedOn w:val="24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9">
    <w:name w:val="标题 4 Char"/>
    <w:basedOn w:val="24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0">
    <w:name w:val="标题 5 Char"/>
    <w:basedOn w:val="24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1">
    <w:name w:val="标题 6 Char"/>
    <w:basedOn w:val="24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2">
    <w:name w:val="页眉 Char"/>
    <w:basedOn w:val="24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页脚 Char"/>
    <w:basedOn w:val="24"/>
    <w:link w:val="1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4">
    <w:name w:val="正文文本缩进 Char"/>
    <w:basedOn w:val="24"/>
    <w:link w:val="10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5">
    <w:name w:val="标题6"/>
    <w:basedOn w:val="7"/>
    <w:link w:val="37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styleId="36">
    <w:name w:val="List Paragraph"/>
    <w:basedOn w:val="1"/>
    <w:qFormat/>
    <w:uiPriority w:val="34"/>
    <w:pPr>
      <w:ind w:firstLine="420" w:firstLineChars="200"/>
    </w:pPr>
  </w:style>
  <w:style w:type="character" w:customStyle="1" w:styleId="37">
    <w:name w:val="标题6 Char"/>
    <w:basedOn w:val="31"/>
    <w:link w:val="35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38">
    <w:name w:val="批注框文本 Char"/>
    <w:basedOn w:val="24"/>
    <w:link w:val="1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9">
    <w:name w:val="TOC 标题1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0">
    <w:name w:val="标题 Char"/>
    <w:basedOn w:val="24"/>
    <w:link w:val="22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1">
    <w:name w:val="文档结构图 Char"/>
    <w:basedOn w:val="24"/>
    <w:link w:val="9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42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paragraph" w:customStyle="1" w:styleId="43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44">
    <w:name w:val="列出段落1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0" Type="http://schemas.openxmlformats.org/officeDocument/2006/relationships/fontTable" Target="fontTable.xml"/><Relationship Id="rId8" Type="http://schemas.openxmlformats.org/officeDocument/2006/relationships/image" Target="media/image4.png"/><Relationship Id="rId79" Type="http://schemas.openxmlformats.org/officeDocument/2006/relationships/customXml" Target="../customXml/item2.xml"/><Relationship Id="rId78" Type="http://schemas.openxmlformats.org/officeDocument/2006/relationships/numbering" Target="numbering.xml"/><Relationship Id="rId77" Type="http://schemas.openxmlformats.org/officeDocument/2006/relationships/customXml" Target="../customXml/item1.xml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jpe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F62EE3-DF13-4A68-8117-B43311332E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41</Pages>
  <Words>1015</Words>
  <Characters>5786</Characters>
  <Lines>48</Lines>
  <Paragraphs>13</Paragraphs>
  <TotalTime>467</TotalTime>
  <ScaleCrop>false</ScaleCrop>
  <LinksUpToDate>false</LinksUpToDate>
  <CharactersWithSpaces>6788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Administrator</cp:lastModifiedBy>
  <dcterms:modified xsi:type="dcterms:W3CDTF">2020-06-22T07:49:10Z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