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0B24D">
      <w:pPr>
        <w:widowControl/>
        <w:jc w:val="left"/>
        <w:rPr>
          <w:rFonts w:hint="eastAsia" w:ascii="黑体" w:hAnsi="黑体" w:eastAsia="黑体" w:cs="黑体"/>
          <w:sz w:val="32"/>
          <w:szCs w:val="32"/>
        </w:rPr>
      </w:pPr>
    </w:p>
    <w:p w14:paraId="3D3447B0">
      <w:pPr>
        <w:widowControl/>
        <w:jc w:val="lef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eastAsia="zh-CN"/>
        </w:rPr>
        <w:t>：</w:t>
      </w:r>
    </w:p>
    <w:p w14:paraId="5D55D8B7">
      <w:pPr>
        <w:spacing w:line="600" w:lineRule="exact"/>
        <w:rPr>
          <w:rFonts w:ascii="黑体" w:hAnsi="黑体" w:eastAsia="黑体" w:cs="黑体"/>
          <w:sz w:val="32"/>
          <w:szCs w:val="32"/>
        </w:rPr>
      </w:pPr>
    </w:p>
    <w:p w14:paraId="2CDA7F2A">
      <w:pPr>
        <w:spacing w:line="600" w:lineRule="exact"/>
        <w:jc w:val="center"/>
        <w:rPr>
          <w:rFonts w:ascii="方正小标宋_GBK" w:hAnsi="黑体" w:eastAsia="方正小标宋_GBK"/>
          <w:sz w:val="44"/>
          <w:szCs w:val="44"/>
        </w:rPr>
      </w:pPr>
      <w:r>
        <w:rPr>
          <w:rFonts w:hint="eastAsia" w:ascii="方正小标宋_GBK" w:hAnsi="黑体" w:eastAsia="方正小标宋_GBK"/>
          <w:sz w:val="44"/>
          <w:szCs w:val="44"/>
        </w:rPr>
        <w:t>连云港市建设工程项目招标代理综合评价</w:t>
      </w:r>
    </w:p>
    <w:p w14:paraId="412CBE26">
      <w:pPr>
        <w:spacing w:line="600" w:lineRule="exact"/>
        <w:jc w:val="center"/>
        <w:rPr>
          <w:rFonts w:hint="eastAsia" w:ascii="方正小标宋_GBK" w:hAnsi="黑体" w:eastAsia="方正小标宋_GBK"/>
          <w:sz w:val="44"/>
          <w:szCs w:val="44"/>
        </w:rPr>
      </w:pPr>
      <w:r>
        <w:rPr>
          <w:rFonts w:hint="eastAsia" w:ascii="方正小标宋_GBK" w:hAnsi="黑体" w:eastAsia="方正小标宋_GBK"/>
          <w:sz w:val="44"/>
          <w:szCs w:val="44"/>
        </w:rPr>
        <w:t>实施方案（2025年度）</w:t>
      </w:r>
      <w:r>
        <w:rPr>
          <w:rFonts w:hint="eastAsia" w:ascii="方正小标宋_GBK" w:hAnsi="黑体" w:eastAsia="方正小标宋_GBK"/>
          <w:sz w:val="44"/>
          <w:szCs w:val="44"/>
          <w:lang w:val="en-US" w:eastAsia="zh-CN"/>
        </w:rPr>
        <w:t>（征求意见稿）</w:t>
      </w:r>
    </w:p>
    <w:p w14:paraId="18F3F04E">
      <w:pPr>
        <w:pStyle w:val="8"/>
        <w:widowControl/>
        <w:shd w:val="clear" w:color="auto" w:fill="FFFFFF"/>
        <w:spacing w:before="0" w:beforeAutospacing="0" w:after="0" w:afterAutospacing="0" w:line="600" w:lineRule="exact"/>
        <w:ind w:firstLine="640" w:firstLineChars="200"/>
        <w:jc w:val="both"/>
        <w:rPr>
          <w:rFonts w:ascii="仿宋" w:hAnsi="仿宋" w:eastAsia="仿宋" w:cs="仿宋"/>
          <w:sz w:val="32"/>
          <w:szCs w:val="32"/>
        </w:rPr>
      </w:pPr>
    </w:p>
    <w:p w14:paraId="739AA18B">
      <w:pPr>
        <w:pStyle w:val="8"/>
        <w:widowControl/>
        <w:shd w:val="clear" w:color="auto" w:fill="FFFFFF"/>
        <w:spacing w:before="0" w:beforeAutospacing="0" w:after="0" w:afterAutospacing="0" w:line="56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为进一步规范我市招标代理机构从业行为，促进行业健康有序发展，努力营造公平公正、公开透明和诚实信用的招投标市场环境，依据《</w:t>
      </w:r>
      <w:r>
        <w:rPr>
          <w:rFonts w:hint="eastAsia" w:ascii="仿宋" w:hAnsi="仿宋" w:eastAsia="仿宋" w:cs="仿宋"/>
          <w:kern w:val="2"/>
          <w:sz w:val="32"/>
          <w:szCs w:val="32"/>
        </w:rPr>
        <w:t>住建部办公厅关于取消工程建设项目招标代理机构资格认定加强事中事后监管的通知</w:t>
      </w:r>
      <w:r>
        <w:rPr>
          <w:rFonts w:hint="eastAsia" w:ascii="仿宋" w:hAnsi="仿宋" w:eastAsia="仿宋" w:cs="仿宋"/>
          <w:sz w:val="32"/>
          <w:szCs w:val="32"/>
        </w:rPr>
        <w:t>》（</w:t>
      </w:r>
      <w:r>
        <w:rPr>
          <w:rFonts w:hint="eastAsia" w:ascii="仿宋" w:hAnsi="仿宋" w:eastAsia="仿宋" w:cs="仿宋"/>
          <w:kern w:val="2"/>
          <w:sz w:val="32"/>
          <w:szCs w:val="32"/>
        </w:rPr>
        <w:t>建办市</w:t>
      </w:r>
      <w:r>
        <w:rPr>
          <w:rFonts w:hint="eastAsia" w:ascii="仿宋" w:hAnsi="仿宋" w:eastAsia="仿宋" w:cs="仿宋"/>
          <w:sz w:val="32"/>
          <w:szCs w:val="32"/>
        </w:rPr>
        <w:t>〔2017〕77号）、《国家发展改革委等部门关于严格执行招标投标法规制度进一步规范招标投标主体行为的若干意见》</w:t>
      </w:r>
      <w:r>
        <w:rPr>
          <w:rFonts w:hint="eastAsia" w:ascii="仿宋" w:hAnsi="仿宋" w:eastAsia="仿宋" w:cs="仿宋"/>
          <w:bCs/>
          <w:sz w:val="32"/>
          <w:szCs w:val="32"/>
        </w:rPr>
        <w:t>（发改法规规〔2022〕1117号）、《工程建设项目招标代理机构管理暂行办法》（6部委令第34号）《关于进一步加强和规范工程建设项目招标投标管理的通知》（苏发改法规发〔2022〕1017号）、</w:t>
      </w:r>
      <w:r>
        <w:rPr>
          <w:rFonts w:hint="eastAsia" w:ascii="仿宋" w:hAnsi="仿宋" w:eastAsia="仿宋" w:cs="仿宋"/>
          <w:sz w:val="32"/>
          <w:szCs w:val="32"/>
        </w:rPr>
        <w:t>《连云港市住房和城乡建设局关于进一步规范招标代理行业管理工作的通知》（连建发</w:t>
      </w:r>
      <w:r>
        <w:rPr>
          <w:rFonts w:hint="eastAsia" w:ascii="仿宋" w:hAnsi="仿宋" w:eastAsia="仿宋" w:cs="仿宋"/>
          <w:bCs/>
          <w:sz w:val="32"/>
          <w:szCs w:val="32"/>
        </w:rPr>
        <w:t>〔2025〕180号</w:t>
      </w:r>
      <w:r>
        <w:rPr>
          <w:rFonts w:hint="eastAsia" w:ascii="仿宋" w:hAnsi="仿宋" w:eastAsia="仿宋" w:cs="仿宋"/>
          <w:sz w:val="32"/>
          <w:szCs w:val="32"/>
        </w:rPr>
        <w:t>）等有关文件要求，按照年度工作部署，拟对2025年</w:t>
      </w:r>
      <w:r>
        <w:rPr>
          <w:rFonts w:hint="eastAsia" w:ascii="仿宋" w:hAnsi="仿宋" w:eastAsia="仿宋" w:cs="仿宋"/>
          <w:kern w:val="2"/>
          <w:sz w:val="32"/>
          <w:szCs w:val="32"/>
        </w:rPr>
        <w:t>在我市从业的建设工程招标代理机构进行综合评价，为招标人选择招标代理机构提供参考。</w:t>
      </w:r>
    </w:p>
    <w:p w14:paraId="76996A78">
      <w:pPr>
        <w:pStyle w:val="8"/>
        <w:widowControl/>
        <w:shd w:val="clear" w:color="auto" w:fill="FFFFFF"/>
        <w:spacing w:before="0" w:beforeAutospacing="0" w:after="0" w:afterAutospacing="0" w:line="560" w:lineRule="exact"/>
        <w:ind w:firstLine="640" w:firstLineChars="200"/>
        <w:jc w:val="both"/>
        <w:rPr>
          <w:rFonts w:ascii="黑体" w:hAnsi="黑体" w:eastAsia="黑体" w:cs="黑体"/>
          <w:bCs/>
          <w:sz w:val="32"/>
          <w:szCs w:val="32"/>
        </w:rPr>
      </w:pPr>
      <w:r>
        <w:rPr>
          <w:rFonts w:hint="eastAsia" w:ascii="黑体" w:hAnsi="黑体" w:eastAsia="黑体" w:cs="黑体"/>
          <w:bCs/>
          <w:sz w:val="32"/>
          <w:szCs w:val="32"/>
        </w:rPr>
        <w:t>一、基本原则</w:t>
      </w:r>
    </w:p>
    <w:p w14:paraId="63DD06FE">
      <w:pPr>
        <w:pStyle w:val="8"/>
        <w:shd w:val="clear" w:color="auto" w:fill="FFFFFF"/>
        <w:spacing w:before="0" w:beforeAutospacing="0" w:after="0" w:afterAutospacing="0" w:line="560" w:lineRule="exact"/>
        <w:ind w:firstLine="640" w:firstLineChars="200"/>
        <w:jc w:val="both"/>
        <w:rPr>
          <w:rFonts w:ascii="仿宋" w:hAnsi="仿宋" w:eastAsia="仿宋" w:cs="仿宋"/>
          <w:sz w:val="32"/>
          <w:szCs w:val="32"/>
        </w:rPr>
      </w:pPr>
      <w:r>
        <w:rPr>
          <w:rFonts w:hint="eastAsia" w:ascii="楷体" w:hAnsi="楷体" w:eastAsia="楷体" w:cs="楷体"/>
          <w:bCs/>
          <w:sz w:val="32"/>
          <w:szCs w:val="32"/>
        </w:rPr>
        <w:t>（一）实事求是。</w:t>
      </w:r>
      <w:r>
        <w:rPr>
          <w:rFonts w:hint="eastAsia" w:ascii="仿宋" w:hAnsi="仿宋" w:eastAsia="仿宋" w:cs="仿宋"/>
          <w:sz w:val="32"/>
          <w:szCs w:val="32"/>
        </w:rPr>
        <w:t>综合评价坚持以事实为依据，用客观统一的标准评价参加综合评价的招标代理机构的实际情况。</w:t>
      </w:r>
    </w:p>
    <w:p w14:paraId="61F82326">
      <w:pPr>
        <w:pStyle w:val="8"/>
        <w:shd w:val="clear" w:color="auto" w:fill="FFFFFF"/>
        <w:spacing w:before="0" w:beforeAutospacing="0" w:after="0" w:afterAutospacing="0" w:line="560" w:lineRule="exact"/>
        <w:ind w:firstLine="640" w:firstLineChars="200"/>
        <w:jc w:val="both"/>
        <w:rPr>
          <w:rFonts w:ascii="仿宋" w:hAnsi="仿宋" w:eastAsia="仿宋" w:cs="仿宋"/>
          <w:sz w:val="32"/>
          <w:szCs w:val="32"/>
        </w:rPr>
      </w:pPr>
      <w:r>
        <w:rPr>
          <w:rFonts w:hint="eastAsia" w:ascii="楷体" w:hAnsi="楷体" w:eastAsia="楷体" w:cs="楷体"/>
          <w:bCs/>
          <w:sz w:val="32"/>
          <w:szCs w:val="32"/>
        </w:rPr>
        <w:t>（二）统筹兼顾。</w:t>
      </w:r>
      <w:r>
        <w:rPr>
          <w:rFonts w:hint="eastAsia" w:ascii="仿宋" w:hAnsi="仿宋" w:eastAsia="仿宋" w:cs="仿宋"/>
          <w:sz w:val="32"/>
          <w:szCs w:val="32"/>
        </w:rPr>
        <w:t>综合评价兼顾评价对象从业基本条件、实际经营行为和省动态考核以及其他综合表现情况；数据来源兼顾评价资料和“江苏省建设工程招投标行政监督平台”相关记录；价值取向兼顾公平和效率，努力提升综合评价结果的全面性和客观性。</w:t>
      </w:r>
    </w:p>
    <w:p w14:paraId="349F679B">
      <w:pPr>
        <w:pStyle w:val="8"/>
        <w:shd w:val="clear" w:color="auto" w:fill="FFFFFF"/>
        <w:spacing w:before="0" w:beforeAutospacing="0" w:after="0" w:afterAutospacing="0" w:line="560" w:lineRule="exact"/>
        <w:ind w:firstLine="640" w:firstLineChars="200"/>
        <w:jc w:val="both"/>
        <w:rPr>
          <w:rFonts w:ascii="仿宋" w:hAnsi="仿宋" w:eastAsia="仿宋" w:cs="仿宋"/>
          <w:sz w:val="32"/>
          <w:szCs w:val="32"/>
        </w:rPr>
      </w:pPr>
      <w:r>
        <w:rPr>
          <w:rFonts w:hint="eastAsia" w:ascii="楷体" w:hAnsi="楷体" w:eastAsia="楷体" w:cs="楷体"/>
          <w:bCs/>
          <w:sz w:val="32"/>
          <w:szCs w:val="32"/>
        </w:rPr>
        <w:t>（三）评管结合。</w:t>
      </w:r>
      <w:r>
        <w:rPr>
          <w:rFonts w:hint="eastAsia" w:ascii="仿宋" w:hAnsi="仿宋" w:eastAsia="仿宋" w:cs="仿宋"/>
          <w:sz w:val="32"/>
          <w:szCs w:val="32"/>
        </w:rPr>
        <w:t>注重评价对象在我市从业的实际经营行为，适度增加实际经营行为在综合量化评价中的权重，提升综合评价的客观性，引导招标代理行业树立“诚信守法经营、规范有序竞争”的规则意识。</w:t>
      </w:r>
    </w:p>
    <w:p w14:paraId="07A6D1A0">
      <w:pPr>
        <w:pStyle w:val="8"/>
        <w:widowControl/>
        <w:shd w:val="clear" w:color="auto" w:fill="FFFFFF"/>
        <w:spacing w:before="0" w:beforeAutospacing="0" w:after="0" w:afterAutospacing="0" w:line="56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综合评价结果将及时向社会公布，供招标人选择代理机构时自主参考，同时也为行政部门对招标代理机构实行差异化监管提供依据。</w:t>
      </w:r>
    </w:p>
    <w:p w14:paraId="5E5C97DC">
      <w:pPr>
        <w:pStyle w:val="8"/>
        <w:widowControl/>
        <w:shd w:val="clear" w:color="auto" w:fill="FFFFFF"/>
        <w:spacing w:before="0" w:beforeAutospacing="0" w:after="0" w:afterAutospacing="0" w:line="560" w:lineRule="exact"/>
        <w:ind w:firstLine="640" w:firstLineChars="200"/>
        <w:jc w:val="both"/>
        <w:rPr>
          <w:rFonts w:ascii="宋体" w:hAnsi="宋体" w:cs="宋体"/>
          <w:bCs/>
          <w:sz w:val="32"/>
          <w:szCs w:val="32"/>
        </w:rPr>
      </w:pPr>
      <w:r>
        <w:rPr>
          <w:rFonts w:hint="eastAsia" w:ascii="黑体" w:hAnsi="黑体" w:eastAsia="黑体" w:cs="黑体"/>
          <w:bCs/>
          <w:sz w:val="32"/>
          <w:szCs w:val="32"/>
        </w:rPr>
        <w:t>二、综合评价概述</w:t>
      </w:r>
    </w:p>
    <w:p w14:paraId="1C5C9731">
      <w:pPr>
        <w:pStyle w:val="8"/>
        <w:widowControl/>
        <w:shd w:val="clear" w:color="auto" w:fill="FFFFFF"/>
        <w:spacing w:before="0" w:beforeAutospacing="0" w:after="0" w:afterAutospacing="0" w:line="560" w:lineRule="exact"/>
        <w:ind w:firstLine="640" w:firstLineChars="200"/>
        <w:jc w:val="both"/>
        <w:rPr>
          <w:rFonts w:ascii="楷体" w:hAnsi="楷体" w:eastAsia="楷体" w:cs="仿宋"/>
          <w:bCs/>
          <w:sz w:val="32"/>
          <w:szCs w:val="32"/>
        </w:rPr>
      </w:pPr>
      <w:r>
        <w:rPr>
          <w:rFonts w:hint="eastAsia" w:ascii="楷体" w:hAnsi="楷体" w:eastAsia="楷体" w:cs="仿宋"/>
          <w:bCs/>
          <w:sz w:val="32"/>
          <w:szCs w:val="32"/>
        </w:rPr>
        <w:t>（一）综合评价对象</w:t>
      </w:r>
    </w:p>
    <w:p w14:paraId="17EC2356">
      <w:pPr>
        <w:pStyle w:val="8"/>
        <w:widowControl/>
        <w:shd w:val="clear" w:color="auto" w:fill="FFFFFF"/>
        <w:spacing w:before="0" w:beforeAutospacing="0" w:after="0" w:afterAutospacing="0" w:line="560" w:lineRule="exact"/>
        <w:ind w:firstLine="640" w:firstLineChars="200"/>
        <w:jc w:val="both"/>
        <w:rPr>
          <w:rFonts w:hint="eastAsia" w:ascii="仿宋_GB2312" w:hAnsi="宋体" w:eastAsia="仿宋_GB2312"/>
          <w:sz w:val="32"/>
          <w:szCs w:val="32"/>
        </w:rPr>
      </w:pPr>
      <w:r>
        <w:rPr>
          <w:rFonts w:hint="eastAsia" w:ascii="仿宋_GB2312" w:hAnsi="宋体" w:eastAsia="仿宋_GB2312"/>
          <w:sz w:val="32"/>
          <w:szCs w:val="32"/>
        </w:rPr>
        <w:t>综合评价对象范围为在我市从事建设工程招标代理业务的连云港市招标投标协会会员单位。未在规定期限内报名的，视为</w:t>
      </w:r>
      <w:r>
        <w:rPr>
          <w:rFonts w:hint="eastAsia" w:ascii="仿宋_GB2312" w:hAnsi="宋体" w:eastAsia="仿宋_GB2312"/>
          <w:sz w:val="32"/>
          <w:szCs w:val="32"/>
          <w:lang w:eastAsia="zh-CN"/>
        </w:rPr>
        <w:t>不</w:t>
      </w:r>
      <w:r>
        <w:rPr>
          <w:rFonts w:hint="eastAsia" w:ascii="仿宋_GB2312" w:hAnsi="宋体" w:eastAsia="仿宋_GB2312"/>
          <w:sz w:val="32"/>
          <w:szCs w:val="32"/>
        </w:rPr>
        <w:t>参加综合评价。</w:t>
      </w:r>
    </w:p>
    <w:p w14:paraId="18C26DE0">
      <w:pPr>
        <w:pStyle w:val="8"/>
        <w:widowControl/>
        <w:shd w:val="clear" w:color="auto" w:fill="FFFFFF"/>
        <w:spacing w:before="0" w:beforeAutospacing="0" w:after="0" w:afterAutospacing="0" w:line="560" w:lineRule="exact"/>
        <w:ind w:firstLine="640" w:firstLineChars="200"/>
        <w:jc w:val="both"/>
        <w:rPr>
          <w:rFonts w:hint="eastAsia" w:ascii="楷体" w:hAnsi="楷体" w:eastAsia="楷体" w:cs="仿宋"/>
          <w:bCs/>
          <w:sz w:val="32"/>
          <w:szCs w:val="32"/>
          <w:lang w:eastAsia="zh-CN"/>
        </w:rPr>
      </w:pPr>
      <w:r>
        <w:rPr>
          <w:rFonts w:hint="eastAsia" w:ascii="楷体" w:hAnsi="楷体" w:eastAsia="楷体" w:cs="仿宋"/>
          <w:bCs/>
          <w:sz w:val="32"/>
          <w:szCs w:val="32"/>
        </w:rPr>
        <w:t>（二）评价</w:t>
      </w:r>
      <w:r>
        <w:rPr>
          <w:rFonts w:hint="eastAsia" w:ascii="楷体" w:hAnsi="楷体" w:eastAsia="楷体" w:cs="仿宋"/>
          <w:bCs/>
          <w:sz w:val="32"/>
          <w:szCs w:val="32"/>
          <w:lang w:eastAsia="zh-CN"/>
        </w:rPr>
        <w:t>组织落实</w:t>
      </w:r>
    </w:p>
    <w:p w14:paraId="50CED2A1">
      <w:pPr>
        <w:pStyle w:val="8"/>
        <w:widowControl/>
        <w:shd w:val="clear" w:color="auto" w:fill="FFFFFF"/>
        <w:kinsoku/>
        <w:autoSpaceDE/>
        <w:autoSpaceDN/>
        <w:adjustRightInd/>
        <w:snapToGrid/>
        <w:spacing w:before="0" w:beforeAutospacing="0" w:after="0" w:afterAutospacing="0" w:line="560" w:lineRule="exact"/>
        <w:ind w:firstLine="640" w:firstLineChars="200"/>
        <w:jc w:val="both"/>
        <w:textAlignment w:val="auto"/>
        <w:rPr>
          <w:rFonts w:hint="eastAsia" w:ascii="仿宋" w:hAnsi="仿宋" w:eastAsia="仿宋" w:cs="仿宋"/>
          <w:snapToGrid/>
          <w:sz w:val="32"/>
          <w:szCs w:val="32"/>
          <w:lang w:eastAsia="zh-CN"/>
        </w:rPr>
      </w:pPr>
      <w:r>
        <w:rPr>
          <w:rFonts w:hint="eastAsia" w:ascii="仿宋" w:hAnsi="仿宋" w:eastAsia="仿宋" w:cs="仿宋"/>
          <w:snapToGrid/>
          <w:sz w:val="32"/>
          <w:szCs w:val="32"/>
          <w:lang w:eastAsia="zh-CN"/>
        </w:rPr>
        <w:t>市招标投标协会在市招标办的监督指导下，于每年招标代理综合评价工作开始前建立专职委员会，具体负责本周期审查评分工作。招标代理综合评价报名审查、咨询联络、资料收发、结果公布等由市招标投标协会秘书处统一扎口。协会其他人员不得随意对外联系或发布相关信息。</w:t>
      </w:r>
    </w:p>
    <w:p w14:paraId="440A32AE">
      <w:pPr>
        <w:pStyle w:val="8"/>
        <w:widowControl/>
        <w:shd w:val="clear" w:color="auto" w:fill="FFFFFF"/>
        <w:spacing w:before="0" w:beforeAutospacing="0" w:after="0" w:afterAutospacing="0" w:line="56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综合评价</w:t>
      </w:r>
      <w:r>
        <w:rPr>
          <w:rFonts w:hint="eastAsia" w:ascii="仿宋" w:hAnsi="仿宋" w:eastAsia="仿宋" w:cs="仿宋"/>
          <w:sz w:val="32"/>
          <w:szCs w:val="32"/>
          <w:lang w:eastAsia="zh-CN"/>
        </w:rPr>
        <w:t>专职</w:t>
      </w:r>
      <w:r>
        <w:rPr>
          <w:rFonts w:hint="eastAsia" w:ascii="仿宋" w:hAnsi="仿宋" w:eastAsia="仿宋" w:cs="仿宋"/>
          <w:sz w:val="32"/>
          <w:szCs w:val="32"/>
        </w:rPr>
        <w:t>委员会</w:t>
      </w:r>
      <w:r>
        <w:rPr>
          <w:rFonts w:hint="eastAsia" w:ascii="仿宋" w:hAnsi="仿宋" w:eastAsia="仿宋" w:cs="仿宋"/>
          <w:sz w:val="32"/>
          <w:szCs w:val="32"/>
          <w:lang w:eastAsia="zh-CN"/>
        </w:rPr>
        <w:t>应遵守如下规定</w:t>
      </w:r>
      <w:r>
        <w:rPr>
          <w:rFonts w:hint="eastAsia" w:ascii="仿宋" w:hAnsi="仿宋" w:eastAsia="仿宋" w:cs="仿宋"/>
          <w:sz w:val="32"/>
          <w:szCs w:val="32"/>
        </w:rPr>
        <w:t>：</w:t>
      </w:r>
    </w:p>
    <w:p w14:paraId="55C86F81">
      <w:pPr>
        <w:pStyle w:val="8"/>
        <w:widowControl/>
        <w:shd w:val="clear" w:color="auto" w:fill="FFFFFF"/>
        <w:spacing w:before="0" w:beforeAutospacing="0" w:after="0" w:afterAutospacing="0" w:line="56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综合评价</w:t>
      </w:r>
      <w:r>
        <w:rPr>
          <w:rFonts w:hint="eastAsia" w:ascii="仿宋" w:hAnsi="仿宋" w:eastAsia="仿宋" w:cs="仿宋"/>
          <w:sz w:val="32"/>
          <w:szCs w:val="32"/>
          <w:lang w:eastAsia="zh-CN"/>
        </w:rPr>
        <w:t>专职</w:t>
      </w:r>
      <w:r>
        <w:rPr>
          <w:rFonts w:hint="eastAsia" w:ascii="仿宋" w:hAnsi="仿宋" w:eastAsia="仿宋" w:cs="仿宋"/>
          <w:sz w:val="32"/>
          <w:szCs w:val="32"/>
        </w:rPr>
        <w:t>委员会</w:t>
      </w:r>
      <w:r>
        <w:rPr>
          <w:rFonts w:hint="eastAsia" w:ascii="仿宋" w:hAnsi="仿宋" w:eastAsia="仿宋" w:cs="仿宋"/>
          <w:sz w:val="32"/>
          <w:szCs w:val="32"/>
          <w:lang w:eastAsia="zh-CN"/>
        </w:rPr>
        <w:t>应遵守如下规定</w:t>
      </w:r>
      <w:r>
        <w:rPr>
          <w:rFonts w:hint="eastAsia" w:ascii="仿宋" w:hAnsi="仿宋" w:eastAsia="仿宋" w:cs="仿宋"/>
          <w:sz w:val="32"/>
          <w:szCs w:val="32"/>
        </w:rPr>
        <w:t>：</w:t>
      </w:r>
    </w:p>
    <w:p w14:paraId="47188974">
      <w:pPr>
        <w:pStyle w:val="8"/>
        <w:widowControl/>
        <w:shd w:val="clear" w:color="auto" w:fill="FFFFFF"/>
        <w:spacing w:before="0" w:beforeAutospacing="0" w:after="0" w:afterAutospacing="0" w:line="56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自愿</w:t>
      </w:r>
      <w:r>
        <w:rPr>
          <w:rFonts w:hint="eastAsia" w:ascii="仿宋" w:hAnsi="仿宋" w:eastAsia="仿宋" w:cs="仿宋"/>
          <w:sz w:val="32"/>
          <w:szCs w:val="32"/>
        </w:rPr>
        <w:t>接受市招标投标协会委托，根据本方案对综合评价对象相关资料进行独立评审，</w:t>
      </w:r>
      <w:r>
        <w:rPr>
          <w:rFonts w:hint="eastAsia" w:ascii="仿宋" w:hAnsi="仿宋" w:eastAsia="仿宋" w:cs="仿宋"/>
          <w:sz w:val="32"/>
          <w:szCs w:val="32"/>
          <w:lang w:eastAsia="zh-CN"/>
        </w:rPr>
        <w:t>形成量化评分</w:t>
      </w:r>
      <w:r>
        <w:rPr>
          <w:rFonts w:hint="eastAsia" w:ascii="仿宋" w:hAnsi="仿宋" w:eastAsia="仿宋" w:cs="仿宋"/>
          <w:sz w:val="32"/>
          <w:szCs w:val="32"/>
        </w:rPr>
        <w:t>；</w:t>
      </w:r>
      <w:bookmarkStart w:id="0" w:name="_GoBack"/>
      <w:bookmarkEnd w:id="0"/>
    </w:p>
    <w:p w14:paraId="6E513EB1">
      <w:pPr>
        <w:pStyle w:val="8"/>
        <w:shd w:val="clear" w:color="auto" w:fill="FFFFFF"/>
        <w:spacing w:before="0" w:beforeAutospacing="0" w:after="0" w:afterAutospacing="0" w:line="56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自觉保守工作秘密，签署保密承诺</w:t>
      </w:r>
      <w:r>
        <w:rPr>
          <w:rFonts w:hint="eastAsia" w:ascii="仿宋" w:hAnsi="仿宋" w:eastAsia="仿宋" w:cs="仿宋"/>
          <w:sz w:val="32"/>
          <w:szCs w:val="32"/>
        </w:rPr>
        <w:t>；</w:t>
      </w:r>
    </w:p>
    <w:p w14:paraId="1F7BCD5C">
      <w:pPr>
        <w:pStyle w:val="8"/>
        <w:shd w:val="clear" w:color="auto" w:fill="FFFFFF"/>
        <w:spacing w:before="0" w:beforeAutospacing="0" w:after="0" w:afterAutospacing="0" w:line="56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依法落实</w:t>
      </w:r>
      <w:r>
        <w:rPr>
          <w:rFonts w:hint="eastAsia" w:ascii="仿宋" w:hAnsi="仿宋" w:eastAsia="仿宋" w:cs="仿宋"/>
          <w:sz w:val="32"/>
          <w:szCs w:val="32"/>
        </w:rPr>
        <w:t>回避制度，</w:t>
      </w:r>
      <w:r>
        <w:rPr>
          <w:rFonts w:hint="eastAsia" w:ascii="仿宋" w:hAnsi="仿宋" w:eastAsia="仿宋" w:cs="仿宋"/>
          <w:sz w:val="32"/>
          <w:szCs w:val="32"/>
          <w:lang w:eastAsia="zh-CN"/>
        </w:rPr>
        <w:t>招标代理企业人员应自觉回避</w:t>
      </w:r>
      <w:r>
        <w:rPr>
          <w:rFonts w:hint="eastAsia" w:ascii="仿宋" w:hAnsi="仿宋" w:eastAsia="仿宋" w:cs="仿宋"/>
          <w:sz w:val="32"/>
          <w:szCs w:val="32"/>
        </w:rPr>
        <w:t>；</w:t>
      </w:r>
    </w:p>
    <w:p w14:paraId="3E3C4C43">
      <w:pPr>
        <w:pStyle w:val="8"/>
        <w:widowControl/>
        <w:shd w:val="clear" w:color="auto" w:fill="FFFFFF"/>
        <w:spacing w:before="0" w:beforeAutospacing="0" w:after="0" w:afterAutospacing="0" w:line="56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4.廉洁自律，不得私下接触</w:t>
      </w:r>
      <w:r>
        <w:rPr>
          <w:rFonts w:hint="eastAsia" w:ascii="仿宋" w:hAnsi="仿宋" w:eastAsia="仿宋" w:cs="仿宋"/>
          <w:sz w:val="32"/>
          <w:szCs w:val="32"/>
          <w:lang w:eastAsia="zh-CN"/>
        </w:rPr>
        <w:t>评价对象</w:t>
      </w:r>
      <w:r>
        <w:rPr>
          <w:rFonts w:hint="eastAsia" w:ascii="仿宋" w:hAnsi="仿宋" w:eastAsia="仿宋" w:cs="仿宋"/>
          <w:sz w:val="32"/>
          <w:szCs w:val="32"/>
        </w:rPr>
        <w:t>，不得收受</w:t>
      </w:r>
      <w:r>
        <w:rPr>
          <w:rFonts w:hint="eastAsia" w:ascii="仿宋" w:hAnsi="仿宋" w:eastAsia="仿宋" w:cs="仿宋"/>
          <w:sz w:val="32"/>
          <w:szCs w:val="32"/>
          <w:lang w:eastAsia="zh-CN"/>
        </w:rPr>
        <w:t>评价对象</w:t>
      </w:r>
      <w:r>
        <w:rPr>
          <w:rFonts w:hint="eastAsia" w:ascii="仿宋" w:hAnsi="仿宋" w:eastAsia="仿宋" w:cs="仿宋"/>
          <w:sz w:val="32"/>
          <w:szCs w:val="32"/>
        </w:rPr>
        <w:t>的财物；</w:t>
      </w:r>
    </w:p>
    <w:p w14:paraId="29EB7C55">
      <w:pPr>
        <w:pStyle w:val="8"/>
        <w:widowControl/>
        <w:shd w:val="clear" w:color="auto" w:fill="FFFFFF"/>
        <w:spacing w:before="0" w:beforeAutospacing="0" w:after="0" w:afterAutospacing="0" w:line="56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eastAsia="zh-CN"/>
        </w:rPr>
        <w:t>自觉接受</w:t>
      </w:r>
      <w:r>
        <w:rPr>
          <w:rFonts w:hint="eastAsia" w:ascii="仿宋" w:hAnsi="仿宋" w:eastAsia="仿宋" w:cs="仿宋"/>
          <w:sz w:val="32"/>
          <w:szCs w:val="32"/>
        </w:rPr>
        <w:t>行业主管部门的监督</w:t>
      </w:r>
      <w:r>
        <w:rPr>
          <w:rFonts w:hint="eastAsia" w:ascii="仿宋" w:hAnsi="仿宋" w:eastAsia="仿宋" w:cs="仿宋"/>
          <w:sz w:val="32"/>
          <w:szCs w:val="32"/>
          <w:lang w:eastAsia="zh-CN"/>
        </w:rPr>
        <w:t>指导</w:t>
      </w:r>
      <w:r>
        <w:rPr>
          <w:rFonts w:hint="eastAsia" w:ascii="仿宋" w:hAnsi="仿宋" w:eastAsia="仿宋" w:cs="仿宋"/>
          <w:sz w:val="32"/>
          <w:szCs w:val="32"/>
        </w:rPr>
        <w:t>。</w:t>
      </w:r>
    </w:p>
    <w:p w14:paraId="32D63CA7">
      <w:pPr>
        <w:pStyle w:val="8"/>
        <w:widowControl/>
        <w:shd w:val="clear" w:color="auto" w:fill="FFFFFF"/>
        <w:spacing w:before="0" w:beforeAutospacing="0" w:after="0" w:afterAutospacing="0" w:line="560" w:lineRule="exact"/>
        <w:ind w:firstLine="640" w:firstLineChars="200"/>
        <w:jc w:val="both"/>
        <w:rPr>
          <w:rFonts w:ascii="楷体" w:hAnsi="楷体" w:eastAsia="楷体" w:cs="仿宋"/>
          <w:bCs/>
          <w:sz w:val="32"/>
          <w:szCs w:val="32"/>
        </w:rPr>
      </w:pPr>
      <w:r>
        <w:rPr>
          <w:rFonts w:hint="eastAsia" w:ascii="楷体" w:hAnsi="楷体" w:eastAsia="楷体" w:cs="仿宋"/>
          <w:bCs/>
          <w:sz w:val="32"/>
          <w:szCs w:val="32"/>
        </w:rPr>
        <w:t>（三）综合评价流程</w:t>
      </w:r>
    </w:p>
    <w:p w14:paraId="5A231CB6">
      <w:pPr>
        <w:pStyle w:val="8"/>
        <w:widowControl/>
        <w:shd w:val="clear" w:color="auto" w:fill="FFFFFF"/>
        <w:spacing w:before="0" w:beforeAutospacing="0" w:after="0" w:afterAutospacing="0" w:line="560" w:lineRule="exact"/>
        <w:ind w:firstLine="640" w:firstLineChars="200"/>
        <w:jc w:val="both"/>
        <w:rPr>
          <w:rFonts w:ascii="仿宋" w:hAnsi="仿宋" w:eastAsia="仿宋" w:cs="仿宋"/>
          <w:b/>
          <w:bCs/>
          <w:sz w:val="32"/>
          <w:szCs w:val="32"/>
        </w:rPr>
      </w:pPr>
      <w:r>
        <w:rPr>
          <w:rFonts w:hint="eastAsia" w:ascii="仿宋" w:hAnsi="仿宋" w:eastAsia="仿宋" w:cs="仿宋"/>
          <w:sz w:val="32"/>
          <w:szCs w:val="32"/>
        </w:rPr>
        <w:t>1.市招标投标协会发布通知。招标代理机构在规定期限内按照要求进行报名，并就其参加综合评价所提供的全部资料的真实有效性和诚信守法经营作出书面承诺。</w:t>
      </w:r>
    </w:p>
    <w:p w14:paraId="34000856">
      <w:pPr>
        <w:pStyle w:val="8"/>
        <w:shd w:val="clear" w:color="auto" w:fill="FFFFFF"/>
        <w:spacing w:before="0" w:beforeAutospacing="0" w:after="0" w:afterAutospacing="0" w:line="56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2.市招标投标协会对招标代理机构提交的报名资料进行初审。报名结束后，市招标投标协会将适时组织</w:t>
      </w:r>
      <w:r>
        <w:rPr>
          <w:rFonts w:hint="eastAsia" w:ascii="仿宋" w:hAnsi="仿宋" w:eastAsia="仿宋" w:cs="仿宋"/>
          <w:sz w:val="32"/>
          <w:szCs w:val="32"/>
          <w:lang w:eastAsia="zh-CN"/>
        </w:rPr>
        <w:t>专职</w:t>
      </w:r>
      <w:r>
        <w:rPr>
          <w:rFonts w:hint="eastAsia" w:ascii="仿宋" w:hAnsi="仿宋" w:eastAsia="仿宋" w:cs="仿宋"/>
          <w:sz w:val="32"/>
          <w:szCs w:val="32"/>
        </w:rPr>
        <w:t>委员会开展综合评价工作。</w:t>
      </w:r>
    </w:p>
    <w:p w14:paraId="09747F32">
      <w:pPr>
        <w:pStyle w:val="8"/>
        <w:shd w:val="clear" w:color="auto" w:fill="FFFFFF"/>
        <w:spacing w:before="0" w:beforeAutospacing="0" w:after="0" w:afterAutospacing="0" w:line="56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3.综合评价结束后市招标投标协会根据得分情况确定评价等级</w:t>
      </w:r>
      <w:r>
        <w:rPr>
          <w:rFonts w:hint="eastAsia" w:ascii="仿宋" w:hAnsi="仿宋" w:eastAsia="仿宋" w:cs="仿宋"/>
          <w:sz w:val="32"/>
          <w:szCs w:val="32"/>
          <w:lang w:eastAsia="zh-CN"/>
        </w:rPr>
        <w:t>。</w:t>
      </w:r>
      <w:r>
        <w:rPr>
          <w:rFonts w:hint="eastAsia" w:ascii="仿宋" w:hAnsi="仿宋" w:eastAsia="仿宋" w:cs="仿宋"/>
          <w:color w:val="auto"/>
          <w:sz w:val="32"/>
          <w:szCs w:val="32"/>
        </w:rPr>
        <w:t>评价结果经市招标办审核</w:t>
      </w:r>
      <w:r>
        <w:rPr>
          <w:rFonts w:hint="eastAsia" w:ascii="仿宋" w:hAnsi="仿宋" w:eastAsia="仿宋" w:cs="仿宋"/>
          <w:color w:val="auto"/>
          <w:sz w:val="32"/>
          <w:szCs w:val="32"/>
          <w:lang w:eastAsia="zh-CN"/>
        </w:rPr>
        <w:t>并</w:t>
      </w:r>
      <w:r>
        <w:rPr>
          <w:rFonts w:hint="eastAsia" w:ascii="仿宋" w:hAnsi="仿宋" w:eastAsia="仿宋" w:cs="仿宋"/>
          <w:color w:val="auto"/>
          <w:sz w:val="32"/>
          <w:szCs w:val="32"/>
        </w:rPr>
        <w:t>报请市住建局同意后，在相关平台予以公布。各监管部门按照属地管辖原则对辖区内建</w:t>
      </w:r>
      <w:r>
        <w:rPr>
          <w:rFonts w:hint="eastAsia" w:ascii="仿宋" w:hAnsi="仿宋" w:eastAsia="仿宋" w:cs="仿宋"/>
          <w:sz w:val="32"/>
          <w:szCs w:val="32"/>
        </w:rPr>
        <w:t>设工程项目招标代理机构的实际经营行为和从业表现进行持续动态考评。动态考评过程中发现严重违法违规行为的及时报市建设工程招标办并通知市招标投标协会</w:t>
      </w:r>
      <w:r>
        <w:rPr>
          <w:rFonts w:hint="eastAsia" w:ascii="仿宋" w:hAnsi="仿宋" w:eastAsia="仿宋" w:cs="仿宋"/>
          <w:sz w:val="32"/>
          <w:szCs w:val="32"/>
          <w:lang w:eastAsia="zh-CN"/>
        </w:rPr>
        <w:t>。</w:t>
      </w:r>
      <w:r>
        <w:rPr>
          <w:rFonts w:hint="eastAsia" w:ascii="仿宋" w:hAnsi="仿宋" w:eastAsia="仿宋" w:cs="仿宋"/>
          <w:sz w:val="32"/>
          <w:szCs w:val="32"/>
        </w:rPr>
        <w:t>市招标投标协会将根据其行为性质和严重程度</w:t>
      </w:r>
      <w:r>
        <w:rPr>
          <w:rFonts w:hint="eastAsia" w:ascii="仿宋" w:hAnsi="仿宋" w:eastAsia="仿宋" w:cs="仿宋"/>
          <w:sz w:val="32"/>
          <w:szCs w:val="32"/>
          <w:lang w:eastAsia="zh-CN"/>
        </w:rPr>
        <w:t>，</w:t>
      </w:r>
      <w:r>
        <w:rPr>
          <w:rFonts w:hint="eastAsia" w:ascii="仿宋" w:hAnsi="仿宋" w:eastAsia="仿宋" w:cs="仿宋"/>
          <w:sz w:val="32"/>
          <w:szCs w:val="32"/>
        </w:rPr>
        <w:t>及时调整其评价等级。</w:t>
      </w:r>
    </w:p>
    <w:p w14:paraId="177B3A93">
      <w:pPr>
        <w:pStyle w:val="8"/>
        <w:shd w:val="clear" w:color="auto" w:fill="FFFFFF"/>
        <w:spacing w:before="0" w:beforeAutospacing="0" w:after="0" w:afterAutospacing="0" w:line="560" w:lineRule="exact"/>
        <w:ind w:firstLine="640" w:firstLineChars="200"/>
        <w:jc w:val="both"/>
        <w:rPr>
          <w:rFonts w:ascii="楷体" w:hAnsi="楷体" w:eastAsia="楷体" w:cs="仿宋"/>
          <w:bCs/>
          <w:sz w:val="32"/>
          <w:szCs w:val="32"/>
        </w:rPr>
      </w:pPr>
      <w:r>
        <w:rPr>
          <w:rFonts w:hint="eastAsia" w:ascii="楷体" w:hAnsi="楷体" w:eastAsia="楷体" w:cs="仿宋"/>
          <w:bCs/>
          <w:sz w:val="32"/>
          <w:szCs w:val="32"/>
        </w:rPr>
        <w:t>（四）评价计分方法</w:t>
      </w:r>
    </w:p>
    <w:p w14:paraId="1D142DDD">
      <w:pPr>
        <w:pStyle w:val="8"/>
        <w:shd w:val="clear" w:color="auto" w:fill="FFFFFF"/>
        <w:spacing w:before="0" w:beforeAutospacing="0" w:after="0" w:afterAutospacing="0" w:line="56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综合评价包括从业基本条件、实际经营行为、省平台动态考核和其他综合表现四个方面，量化得分为四个方面得分的总和。</w:t>
      </w:r>
    </w:p>
    <w:p w14:paraId="32C5ED1E">
      <w:pPr>
        <w:pStyle w:val="8"/>
        <w:shd w:val="clear" w:color="auto" w:fill="FFFFFF"/>
        <w:spacing w:before="0" w:beforeAutospacing="0" w:after="0" w:afterAutospacing="0" w:line="56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算法为：Z=C+J+D+Q</w:t>
      </w:r>
    </w:p>
    <w:p w14:paraId="65900D25">
      <w:pPr>
        <w:pStyle w:val="8"/>
        <w:shd w:val="clear" w:color="auto" w:fill="FFFFFF"/>
        <w:spacing w:before="0" w:beforeAutospacing="0" w:after="0" w:afterAutospacing="0" w:line="56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其中：Z为综合量化评价得分</w:t>
      </w:r>
    </w:p>
    <w:p w14:paraId="16CD213D">
      <w:pPr>
        <w:pStyle w:val="8"/>
        <w:shd w:val="clear" w:color="auto" w:fill="FFFFFF"/>
        <w:spacing w:before="0" w:beforeAutospacing="0" w:after="0" w:afterAutospacing="0" w:line="56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 xml:space="preserve">      C为代理机构从业基本条件评价得分</w:t>
      </w:r>
    </w:p>
    <w:p w14:paraId="298E4F51">
      <w:pPr>
        <w:pStyle w:val="8"/>
        <w:shd w:val="clear" w:color="auto" w:fill="FFFFFF"/>
        <w:spacing w:before="0" w:beforeAutospacing="0" w:after="0" w:afterAutospacing="0" w:line="560" w:lineRule="exact"/>
        <w:ind w:firstLine="1600" w:firstLineChars="500"/>
        <w:jc w:val="both"/>
        <w:rPr>
          <w:rFonts w:ascii="仿宋" w:hAnsi="仿宋" w:eastAsia="仿宋" w:cs="仿宋"/>
          <w:sz w:val="32"/>
          <w:szCs w:val="32"/>
        </w:rPr>
      </w:pPr>
      <w:r>
        <w:rPr>
          <w:rFonts w:hint="eastAsia" w:ascii="仿宋" w:hAnsi="仿宋" w:eastAsia="仿宋" w:cs="仿宋"/>
          <w:sz w:val="32"/>
          <w:szCs w:val="32"/>
        </w:rPr>
        <w:t>J为实际经营行为评价得分</w:t>
      </w:r>
    </w:p>
    <w:p w14:paraId="00A246BC">
      <w:pPr>
        <w:pStyle w:val="8"/>
        <w:shd w:val="clear" w:color="auto" w:fill="FFFFFF"/>
        <w:spacing w:before="0" w:beforeAutospacing="0" w:after="0" w:afterAutospacing="0" w:line="560" w:lineRule="exact"/>
        <w:ind w:firstLine="1600" w:firstLineChars="500"/>
        <w:jc w:val="both"/>
        <w:rPr>
          <w:rFonts w:ascii="仿宋" w:hAnsi="仿宋" w:eastAsia="仿宋" w:cs="仿宋"/>
          <w:sz w:val="32"/>
          <w:szCs w:val="32"/>
        </w:rPr>
      </w:pPr>
      <w:r>
        <w:rPr>
          <w:rFonts w:hint="eastAsia" w:ascii="仿宋" w:hAnsi="仿宋" w:eastAsia="仿宋" w:cs="仿宋"/>
          <w:sz w:val="32"/>
          <w:szCs w:val="32"/>
        </w:rPr>
        <w:t>D为省平台抓取的代理动态考核扣分</w:t>
      </w:r>
    </w:p>
    <w:p w14:paraId="29F76DB8">
      <w:pPr>
        <w:pStyle w:val="8"/>
        <w:shd w:val="clear" w:color="auto" w:fill="FFFFFF"/>
        <w:spacing w:before="0" w:beforeAutospacing="0" w:after="0" w:afterAutospacing="0" w:line="560" w:lineRule="exact"/>
        <w:ind w:firstLine="1600" w:firstLineChars="500"/>
        <w:jc w:val="both"/>
        <w:rPr>
          <w:rFonts w:ascii="仿宋" w:hAnsi="仿宋" w:eastAsia="仿宋" w:cs="仿宋"/>
          <w:sz w:val="32"/>
          <w:szCs w:val="32"/>
        </w:rPr>
      </w:pPr>
      <w:r>
        <w:rPr>
          <w:rFonts w:hint="eastAsia" w:ascii="仿宋" w:hAnsi="仿宋" w:eastAsia="仿宋" w:cs="仿宋"/>
          <w:sz w:val="32"/>
          <w:szCs w:val="32"/>
        </w:rPr>
        <w:t>Q为其他综合表现得分</w:t>
      </w:r>
    </w:p>
    <w:p w14:paraId="21D26FA6">
      <w:pPr>
        <w:pStyle w:val="8"/>
        <w:widowControl/>
        <w:shd w:val="clear" w:color="auto" w:fill="FFFFFF"/>
        <w:spacing w:before="0" w:beforeAutospacing="0" w:after="0" w:afterAutospacing="0" w:line="560" w:lineRule="exact"/>
        <w:ind w:firstLine="640" w:firstLineChars="200"/>
        <w:jc w:val="both"/>
        <w:rPr>
          <w:rFonts w:ascii="宋体" w:hAnsi="宋体" w:cs="宋体"/>
          <w:sz w:val="32"/>
          <w:szCs w:val="32"/>
        </w:rPr>
      </w:pPr>
      <w:r>
        <w:rPr>
          <w:rFonts w:hint="eastAsia" w:ascii="黑体" w:hAnsi="黑体" w:eastAsia="黑体" w:cs="黑体"/>
          <w:bCs/>
          <w:sz w:val="32"/>
          <w:szCs w:val="32"/>
        </w:rPr>
        <w:t>三、量化评分方法</w:t>
      </w:r>
    </w:p>
    <w:p w14:paraId="6B5AEDE1">
      <w:pPr>
        <w:pStyle w:val="8"/>
        <w:widowControl/>
        <w:shd w:val="clear" w:color="auto" w:fill="FFFFFF"/>
        <w:spacing w:before="0" w:beforeAutospacing="0" w:after="0" w:afterAutospacing="0" w:line="560" w:lineRule="exact"/>
        <w:ind w:firstLine="640" w:firstLineChars="200"/>
        <w:jc w:val="both"/>
        <w:rPr>
          <w:rFonts w:ascii="楷体" w:hAnsi="楷体" w:eastAsia="楷体" w:cs="楷体"/>
          <w:bCs/>
          <w:sz w:val="32"/>
          <w:szCs w:val="32"/>
        </w:rPr>
      </w:pPr>
      <w:r>
        <w:rPr>
          <w:rFonts w:hint="eastAsia" w:ascii="楷体" w:hAnsi="楷体" w:eastAsia="楷体" w:cs="楷体"/>
          <w:bCs/>
          <w:sz w:val="32"/>
          <w:szCs w:val="32"/>
        </w:rPr>
        <w:t>（一）代理机构从业基本条件评价(详见附件1)</w:t>
      </w:r>
    </w:p>
    <w:p w14:paraId="7A23147B">
      <w:pPr>
        <w:pStyle w:val="8"/>
        <w:widowControl/>
        <w:shd w:val="clear" w:color="auto" w:fill="FFFFFF"/>
        <w:spacing w:before="0" w:beforeAutospacing="0" w:after="0" w:afterAutospacing="0" w:line="560" w:lineRule="exact"/>
        <w:ind w:firstLine="640" w:firstLineChars="200"/>
        <w:jc w:val="both"/>
        <w:rPr>
          <w:rFonts w:ascii="楷体" w:hAnsi="楷体" w:eastAsia="楷体" w:cs="楷体"/>
          <w:bCs/>
          <w:sz w:val="32"/>
          <w:szCs w:val="32"/>
        </w:rPr>
      </w:pPr>
      <w:r>
        <w:rPr>
          <w:rFonts w:hint="eastAsia" w:ascii="楷体" w:hAnsi="楷体" w:eastAsia="楷体" w:cs="楷体"/>
          <w:bCs/>
          <w:sz w:val="32"/>
          <w:szCs w:val="32"/>
        </w:rPr>
        <w:t>（二）实际经营行为评价</w:t>
      </w:r>
    </w:p>
    <w:p w14:paraId="0E18F1B4">
      <w:pPr>
        <w:pStyle w:val="8"/>
        <w:widowControl/>
        <w:shd w:val="clear" w:color="auto" w:fill="FFFFFF"/>
        <w:spacing w:before="0" w:beforeAutospacing="0" w:after="0" w:afterAutospacing="0" w:line="56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实际经营行为全面反映评价对象各方面从业表现，包括但不限于机构建设、人员参与培训情况、业务知识考核、人员在岗履职情况、代理业务评价、有无重大违法违规行为以及服从监管等情况（详见附件2）。</w:t>
      </w:r>
    </w:p>
    <w:p w14:paraId="73653DD1">
      <w:pPr>
        <w:pStyle w:val="8"/>
        <w:widowControl/>
        <w:shd w:val="clear" w:color="auto" w:fill="FFFFFF"/>
        <w:spacing w:before="0" w:beforeAutospacing="0" w:after="0" w:afterAutospacing="0" w:line="560" w:lineRule="exact"/>
        <w:ind w:firstLine="640" w:firstLineChars="200"/>
        <w:jc w:val="both"/>
        <w:rPr>
          <w:rFonts w:ascii="楷体" w:hAnsi="楷体" w:eastAsia="楷体" w:cs="楷体"/>
          <w:bCs/>
          <w:sz w:val="32"/>
          <w:szCs w:val="32"/>
        </w:rPr>
      </w:pPr>
      <w:r>
        <w:rPr>
          <w:rFonts w:hint="eastAsia" w:ascii="楷体" w:hAnsi="楷体" w:eastAsia="楷体" w:cs="楷体"/>
          <w:bCs/>
          <w:sz w:val="32"/>
          <w:szCs w:val="32"/>
        </w:rPr>
        <w:t>（三）省平台动态考核</w:t>
      </w:r>
    </w:p>
    <w:p w14:paraId="7C895819">
      <w:pPr>
        <w:pStyle w:val="8"/>
        <w:widowControl/>
        <w:shd w:val="clear" w:color="auto" w:fill="FFFFFF"/>
        <w:spacing w:before="0" w:beforeAutospacing="0" w:after="0" w:afterAutospacing="0" w:line="560" w:lineRule="exact"/>
        <w:ind w:firstLine="640" w:firstLineChars="200"/>
        <w:jc w:val="both"/>
        <w:rPr>
          <w:rFonts w:ascii="仿宋_GB2312" w:hAnsi="宋体" w:eastAsia="仿宋_GB2312"/>
          <w:sz w:val="32"/>
          <w:szCs w:val="32"/>
        </w:rPr>
      </w:pPr>
      <w:r>
        <w:rPr>
          <w:rFonts w:hint="eastAsia" w:ascii="仿宋_GB2312" w:hAnsi="宋体" w:eastAsia="仿宋_GB2312"/>
          <w:sz w:val="32"/>
          <w:szCs w:val="32"/>
        </w:rPr>
        <w:t>依据《省招标办关于印发</w:t>
      </w:r>
      <w:r>
        <w:rPr>
          <w:rFonts w:hint="eastAsia" w:ascii="宋体" w:hAnsi="宋体" w:cs="宋体"/>
          <w:sz w:val="32"/>
          <w:szCs w:val="32"/>
        </w:rPr>
        <w:t>〈</w:t>
      </w:r>
      <w:r>
        <w:rPr>
          <w:rFonts w:hint="eastAsia" w:ascii="仿宋_GB2312" w:hAnsi="宋体" w:eastAsia="仿宋_GB2312"/>
          <w:sz w:val="32"/>
          <w:szCs w:val="32"/>
        </w:rPr>
        <w:t>江苏省工程招标代理机构动态考评管理办法</w:t>
      </w:r>
      <w:r>
        <w:rPr>
          <w:rFonts w:hint="eastAsia" w:ascii="宋体" w:hAnsi="宋体" w:cs="宋体"/>
          <w:sz w:val="32"/>
          <w:szCs w:val="32"/>
        </w:rPr>
        <w:t>〉</w:t>
      </w:r>
      <w:r>
        <w:rPr>
          <w:rFonts w:hint="eastAsia" w:ascii="仿宋_GB2312" w:hAnsi="宋体" w:eastAsia="仿宋_GB2312"/>
          <w:sz w:val="32"/>
          <w:szCs w:val="32"/>
        </w:rPr>
        <w:t>（试行）的通知》（苏建招办</w:t>
      </w:r>
      <w:r>
        <w:rPr>
          <w:rFonts w:hint="eastAsia" w:ascii="仿宋" w:hAnsi="仿宋" w:eastAsia="仿宋" w:cs="仿宋"/>
          <w:sz w:val="32"/>
          <w:szCs w:val="32"/>
        </w:rPr>
        <w:t>〔2018〕9号</w:t>
      </w:r>
      <w:r>
        <w:rPr>
          <w:rFonts w:hint="eastAsia" w:ascii="仿宋_GB2312" w:hAnsi="宋体" w:eastAsia="仿宋_GB2312"/>
          <w:sz w:val="32"/>
          <w:szCs w:val="32"/>
        </w:rPr>
        <w:t>），报请我市招投标监管部门协助通过省监管平台对招标代理业务行为进行动态考核。省平台动态考核连云港地区扣分直接计入我市招标代理综合量化评价得分。</w:t>
      </w:r>
    </w:p>
    <w:p w14:paraId="0C54D354">
      <w:pPr>
        <w:pStyle w:val="8"/>
        <w:shd w:val="clear" w:color="auto" w:fill="FFFFFF"/>
        <w:spacing w:before="0" w:beforeAutospacing="0" w:after="0" w:afterAutospacing="0" w:line="560" w:lineRule="exact"/>
        <w:ind w:firstLine="640" w:firstLineChars="200"/>
        <w:jc w:val="both"/>
        <w:rPr>
          <w:rFonts w:ascii="华文楷体" w:hAnsi="华文楷体" w:eastAsia="华文楷体" w:cs="仿宋"/>
          <w:sz w:val="32"/>
          <w:szCs w:val="32"/>
        </w:rPr>
      </w:pPr>
      <w:r>
        <w:rPr>
          <w:rFonts w:hint="eastAsia" w:ascii="华文楷体" w:hAnsi="华文楷体" w:eastAsia="华文楷体"/>
          <w:sz w:val="32"/>
          <w:szCs w:val="32"/>
        </w:rPr>
        <w:t>（四）其他综合表现</w:t>
      </w:r>
    </w:p>
    <w:p w14:paraId="494648A1">
      <w:pPr>
        <w:pStyle w:val="8"/>
        <w:shd w:val="clear" w:color="auto" w:fill="FFFFFF"/>
        <w:spacing w:before="0" w:beforeAutospacing="0" w:after="0" w:afterAutospacing="0" w:line="56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本项评价内容包括代理机构的党建工作、行业信用评价情况、行业自律评价、社会责任履行和公益慈善情况、响应主管部门或行业协会组织的活动情况、参与行业共建以及其他与招投标行业建设有关的活动、荣誉和贡献等。</w:t>
      </w:r>
    </w:p>
    <w:p w14:paraId="1E317161">
      <w:pPr>
        <w:pStyle w:val="8"/>
        <w:widowControl/>
        <w:shd w:val="clear" w:color="auto" w:fill="FFFFFF"/>
        <w:spacing w:before="0" w:beforeAutospacing="0" w:after="0" w:afterAutospacing="0" w:line="560" w:lineRule="exact"/>
        <w:ind w:firstLine="640" w:firstLineChars="200"/>
        <w:jc w:val="both"/>
        <w:rPr>
          <w:rFonts w:ascii="仿宋" w:hAnsi="仿宋" w:eastAsia="仿宋" w:cs="仿宋"/>
          <w:sz w:val="32"/>
          <w:szCs w:val="32"/>
        </w:rPr>
      </w:pPr>
      <w:r>
        <w:rPr>
          <w:rFonts w:hint="eastAsia" w:ascii="黑体" w:hAnsi="黑体" w:eastAsia="黑体" w:cs="黑体"/>
          <w:bCs/>
          <w:sz w:val="32"/>
          <w:szCs w:val="32"/>
        </w:rPr>
        <w:t>四、综合评价</w:t>
      </w:r>
    </w:p>
    <w:p w14:paraId="3A987A61">
      <w:pPr>
        <w:pStyle w:val="8"/>
        <w:widowControl/>
        <w:shd w:val="clear" w:color="auto" w:fill="FFFFFF"/>
        <w:spacing w:before="0" w:beforeAutospacing="0" w:after="0" w:afterAutospacing="0" w:line="56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市招标投标协会依据量化评价得分对各评价对象进行综合评价。量化评价得分由高到低排序，前25%左右的评价对象列为“AAA”，中间50%左右的评价对象列为“AA”，后20%左右的评价对象列为“A”；</w:t>
      </w:r>
      <w:r>
        <w:rPr>
          <w:rFonts w:hint="eastAsia" w:ascii="仿宋" w:hAnsi="仿宋" w:eastAsia="仿宋" w:cs="仿宋"/>
          <w:b/>
          <w:bCs/>
          <w:sz w:val="32"/>
          <w:szCs w:val="32"/>
        </w:rPr>
        <w:t>最后5%左右以及达不到基本从业条件的列为无评价等级。</w:t>
      </w:r>
    </w:p>
    <w:p w14:paraId="0B204C34">
      <w:pPr>
        <w:pStyle w:val="8"/>
        <w:widowControl/>
        <w:shd w:val="clear" w:color="auto" w:fill="FFFFFF"/>
        <w:spacing w:before="0" w:beforeAutospacing="0" w:after="0" w:afterAutospacing="0" w:line="560" w:lineRule="exact"/>
        <w:ind w:firstLine="640" w:firstLineChars="200"/>
        <w:jc w:val="both"/>
        <w:rPr>
          <w:rFonts w:ascii="黑体" w:hAnsi="黑体" w:eastAsia="黑体" w:cs="黑体"/>
          <w:bCs/>
          <w:sz w:val="32"/>
          <w:szCs w:val="32"/>
        </w:rPr>
      </w:pPr>
      <w:r>
        <w:rPr>
          <w:rFonts w:hint="eastAsia" w:ascii="黑体" w:hAnsi="黑体" w:eastAsia="黑体" w:cs="黑体"/>
          <w:bCs/>
          <w:sz w:val="32"/>
          <w:szCs w:val="32"/>
        </w:rPr>
        <w:t>五、结果公布</w:t>
      </w:r>
    </w:p>
    <w:p w14:paraId="7DA7189C">
      <w:pPr>
        <w:pStyle w:val="8"/>
        <w:shd w:val="clear" w:color="auto" w:fill="FFFFFF"/>
        <w:spacing w:before="0" w:beforeAutospacing="0" w:after="0" w:afterAutospacing="0" w:line="56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综合评价结果及时通过连云港市住建局官网、连云港市公共资源交易网或江苏省建设工程交易网向社会公布，供招标人选择代理机构时自主参考，同时为招投标行业监管部门实施差异化监管提供依据。</w:t>
      </w:r>
    </w:p>
    <w:p w14:paraId="1D5EA15C">
      <w:pPr>
        <w:widowControl/>
        <w:shd w:val="clear" w:color="auto" w:fill="FFFFFF"/>
        <w:ind w:firstLine="640" w:firstLineChars="200"/>
        <w:rPr>
          <w:rFonts w:ascii="黑体" w:hAnsi="黑体" w:eastAsia="黑体" w:cs="黑体"/>
          <w:bCs/>
          <w:sz w:val="32"/>
          <w:szCs w:val="32"/>
        </w:rPr>
      </w:pPr>
      <w:r>
        <w:rPr>
          <w:rFonts w:hint="eastAsia" w:ascii="黑体" w:hAnsi="黑体" w:eastAsia="黑体" w:cs="黑体"/>
          <w:bCs/>
          <w:sz w:val="32"/>
          <w:szCs w:val="32"/>
        </w:rPr>
        <w:t>六、权利义务</w:t>
      </w:r>
    </w:p>
    <w:p w14:paraId="150C56A1">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评价对象应提前准备好相关资料，确保人员在岗在职，并对其真实性、有效性负责。</w:t>
      </w:r>
    </w:p>
    <w:p w14:paraId="785C94B9">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凡报名参加综合评价的单位，均视为响应、认同本综合评价的办法和标准。报名登记后原则上不得无故退出，否则须承担相关后果与责任。</w:t>
      </w:r>
    </w:p>
    <w:p w14:paraId="0A800171">
      <w:pPr>
        <w:spacing w:line="560"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七、申诉和监督</w:t>
      </w:r>
    </w:p>
    <w:p w14:paraId="59541677">
      <w:pPr>
        <w:spacing w:line="560" w:lineRule="exact"/>
        <w:ind w:firstLine="633" w:firstLineChars="198"/>
        <w:rPr>
          <w:rFonts w:ascii="仿宋" w:hAnsi="仿宋" w:eastAsia="仿宋" w:cs="仿宋"/>
          <w:sz w:val="32"/>
          <w:szCs w:val="32"/>
        </w:rPr>
      </w:pPr>
      <w:r>
        <w:rPr>
          <w:rFonts w:hint="eastAsia" w:ascii="仿宋" w:hAnsi="仿宋" w:eastAsia="仿宋" w:cs="仿宋"/>
          <w:sz w:val="32"/>
          <w:szCs w:val="32"/>
        </w:rPr>
        <w:t>参加综合评价的招标代理机构发现评价结果存在计算错误或不实情形的，可以向市招标投标协会申请复评；发现参加综合评价的招标代理机构弄虚作假的，可以向市招标投标协会反映；发现综合评价人员未按打分标准如实评价的，可以向市建设工程招标办反映。</w:t>
      </w:r>
    </w:p>
    <w:p w14:paraId="66D3FD56">
      <w:pPr>
        <w:spacing w:line="560"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八、其他事项</w:t>
      </w:r>
    </w:p>
    <w:p w14:paraId="47D3C49B">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（一）本方案由市招标投标协会负责解释。</w:t>
      </w:r>
    </w:p>
    <w:p w14:paraId="29A4FD18">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（二）相关内容与国家法律、法规存在不一致的，以国家法律、法规的规定为准。</w:t>
      </w:r>
    </w:p>
    <w:p w14:paraId="4DEBFA18">
      <w:pPr>
        <w:pStyle w:val="8"/>
        <w:widowControl/>
        <w:shd w:val="clear" w:color="auto" w:fill="FFFFFF"/>
        <w:spacing w:before="0" w:beforeAutospacing="0" w:after="0" w:afterAutospacing="0" w:line="56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（三）动态考评得</w:t>
      </w:r>
      <w:r>
        <w:rPr>
          <w:rFonts w:hint="eastAsia" w:ascii="仿宋" w:hAnsi="仿宋" w:eastAsia="仿宋" w:cs="仿宋"/>
          <w:kern w:val="2"/>
          <w:sz w:val="32"/>
          <w:szCs w:val="32"/>
        </w:rPr>
        <w:t>分（省平台抓取信息）每年度重新</w:t>
      </w:r>
      <w:r>
        <w:rPr>
          <w:rFonts w:hint="eastAsia" w:ascii="仿宋" w:hAnsi="仿宋" w:eastAsia="仿宋" w:cs="仿宋"/>
          <w:sz w:val="32"/>
          <w:szCs w:val="32"/>
        </w:rPr>
        <w:t>计算1次（所考核年度的12个月）。</w:t>
      </w:r>
    </w:p>
    <w:p w14:paraId="06797D3B">
      <w:pPr>
        <w:spacing w:line="560" w:lineRule="exact"/>
        <w:rPr>
          <w:rFonts w:ascii="仿宋" w:hAnsi="仿宋" w:eastAsia="仿宋" w:cs="仿宋"/>
          <w:sz w:val="32"/>
          <w:szCs w:val="32"/>
        </w:rPr>
      </w:pPr>
      <w:r>
        <w:rPr>
          <w:rFonts w:hint="eastAsia" w:ascii="仿宋" w:hAnsi="仿宋" w:eastAsia="仿宋" w:cs="仿宋"/>
          <w:sz w:val="32"/>
          <w:szCs w:val="32"/>
        </w:rPr>
        <w:t>（四）评价工作中配合行业主管部门和监管部门的监督。</w:t>
      </w:r>
    </w:p>
    <w:p w14:paraId="26554191">
      <w:pPr>
        <w:spacing w:line="560" w:lineRule="exact"/>
        <w:ind w:firstLine="640" w:firstLineChars="200"/>
        <w:jc w:val="left"/>
        <w:rPr>
          <w:rFonts w:ascii="仿宋" w:hAnsi="仿宋" w:eastAsia="仿宋" w:cs="仿宋"/>
          <w:sz w:val="32"/>
          <w:szCs w:val="32"/>
        </w:rPr>
      </w:pPr>
    </w:p>
    <w:p w14:paraId="6496FD97">
      <w:pPr>
        <w:spacing w:line="560" w:lineRule="exact"/>
        <w:ind w:left="1607" w:leftChars="299" w:hanging="979" w:hangingChars="306"/>
        <w:jc w:val="left"/>
        <w:rPr>
          <w:rFonts w:ascii="仿宋" w:hAnsi="仿宋" w:eastAsia="仿宋" w:cs="仿宋"/>
          <w:sz w:val="32"/>
          <w:szCs w:val="32"/>
        </w:rPr>
      </w:pPr>
      <w:r>
        <w:rPr>
          <w:rFonts w:hint="eastAsia" w:ascii="仿宋" w:hAnsi="仿宋" w:eastAsia="仿宋" w:cs="仿宋"/>
          <w:sz w:val="32"/>
          <w:szCs w:val="32"/>
        </w:rPr>
        <w:t>附件：1.从业基本条件评价指标和标准</w:t>
      </w:r>
    </w:p>
    <w:p w14:paraId="7D9F4C46">
      <w:pPr>
        <w:spacing w:line="560" w:lineRule="exact"/>
        <w:ind w:left="1609" w:leftChars="766"/>
        <w:jc w:val="left"/>
        <w:rPr>
          <w:rFonts w:ascii="仿宋" w:hAnsi="仿宋" w:eastAsia="仿宋" w:cs="仿宋"/>
          <w:sz w:val="32"/>
          <w:szCs w:val="32"/>
        </w:rPr>
      </w:pPr>
      <w:r>
        <w:rPr>
          <w:rFonts w:hint="eastAsia" w:ascii="仿宋" w:hAnsi="仿宋" w:eastAsia="仿宋" w:cs="仿宋"/>
          <w:sz w:val="32"/>
          <w:szCs w:val="32"/>
        </w:rPr>
        <w:t xml:space="preserve">2.实际经营行为评价计分细则                </w:t>
      </w:r>
    </w:p>
    <w:p w14:paraId="635DE76B">
      <w:pPr>
        <w:spacing w:line="600" w:lineRule="exact"/>
        <w:ind w:left="1609" w:leftChars="766" w:firstLine="12" w:firstLineChars="4"/>
        <w:rPr>
          <w:rFonts w:ascii="仿宋" w:hAnsi="仿宋" w:eastAsia="仿宋" w:cs="黑体"/>
          <w:sz w:val="32"/>
          <w:szCs w:val="32"/>
        </w:rPr>
      </w:pPr>
      <w:r>
        <w:rPr>
          <w:rFonts w:hint="eastAsia" w:ascii="仿宋" w:hAnsi="仿宋" w:eastAsia="仿宋" w:cs="黑体"/>
          <w:sz w:val="32"/>
          <w:szCs w:val="32"/>
        </w:rPr>
        <w:t>3.其他综合表现情况计分细则</w:t>
      </w:r>
    </w:p>
    <w:p w14:paraId="6FDE8186">
      <w:pPr>
        <w:snapToGrid w:val="0"/>
        <w:rPr>
          <w:rFonts w:ascii="黑体" w:hAnsi="黑体" w:eastAsia="黑体" w:cs="黑体"/>
          <w:sz w:val="32"/>
          <w:szCs w:val="32"/>
        </w:rPr>
      </w:pPr>
      <w:r>
        <w:rPr>
          <w:rFonts w:ascii="黑体" w:hAnsi="黑体" w:eastAsia="黑体" w:cs="黑体"/>
          <w:sz w:val="32"/>
          <w:szCs w:val="32"/>
        </w:rPr>
        <w:br w:type="page"/>
      </w:r>
      <w:r>
        <w:rPr>
          <w:rFonts w:hint="eastAsia" w:ascii="黑体" w:hAnsi="黑体" w:eastAsia="黑体" w:cs="黑体"/>
          <w:sz w:val="32"/>
          <w:szCs w:val="32"/>
        </w:rPr>
        <w:t>附件1</w:t>
      </w:r>
    </w:p>
    <w:p w14:paraId="7808881F">
      <w:pPr>
        <w:snapToGrid w:val="0"/>
        <w:rPr>
          <w:rFonts w:ascii="黑体" w:hAnsi="黑体" w:eastAsia="黑体" w:cs="黑体"/>
          <w:sz w:val="32"/>
          <w:szCs w:val="32"/>
        </w:rPr>
      </w:pPr>
    </w:p>
    <w:p w14:paraId="32BC3CE8">
      <w:pPr>
        <w:snapToGrid w:val="0"/>
        <w:spacing w:line="640" w:lineRule="exact"/>
        <w:jc w:val="center"/>
        <w:rPr>
          <w:rFonts w:ascii="方正小标宋_GBK" w:hAnsi="黑体" w:eastAsia="方正小标宋_GBK"/>
          <w:sz w:val="44"/>
          <w:szCs w:val="44"/>
        </w:rPr>
      </w:pPr>
      <w:r>
        <w:rPr>
          <w:rFonts w:hint="eastAsia" w:ascii="方正小标宋_GBK" w:hAnsi="黑体" w:eastAsia="方正小标宋_GBK"/>
          <w:sz w:val="44"/>
          <w:szCs w:val="44"/>
        </w:rPr>
        <w:t>从业基本条件评价指标和标准</w:t>
      </w:r>
    </w:p>
    <w:p w14:paraId="3E15BBFE">
      <w:pPr>
        <w:spacing w:line="600" w:lineRule="exact"/>
        <w:ind w:firstLine="640" w:firstLineChars="200"/>
        <w:rPr>
          <w:rFonts w:ascii="仿宋" w:hAnsi="仿宋" w:eastAsia="仿宋" w:cs="仿宋"/>
          <w:sz w:val="32"/>
          <w:szCs w:val="32"/>
        </w:rPr>
      </w:pPr>
    </w:p>
    <w:p w14:paraId="1212DFED">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根据招标投标法和工程招标代理工作的实际需要，招标代理机构应合法设立并具备一定数量的专业人员、固定办公场所和业绩等基本条件。</w:t>
      </w:r>
    </w:p>
    <w:p w14:paraId="4316DFD7">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我市代理机构从业基本条件评价实行基本分制。满足所有条件的获基本分60分；不满足的，根据被评价对象的实际情况计算相应基本分值。具体包括以下几个方面：</w:t>
      </w:r>
    </w:p>
    <w:p w14:paraId="5CB1896E">
      <w:pPr>
        <w:spacing w:line="560" w:lineRule="exact"/>
        <w:ind w:firstLine="640" w:firstLineChars="200"/>
        <w:rPr>
          <w:rFonts w:ascii="楷体" w:hAnsi="楷体" w:eastAsia="楷体" w:cs="仿宋"/>
          <w:sz w:val="32"/>
          <w:szCs w:val="32"/>
        </w:rPr>
      </w:pPr>
      <w:r>
        <w:rPr>
          <w:rFonts w:hint="eastAsia" w:ascii="楷体" w:hAnsi="楷体" w:eastAsia="楷体" w:cs="仿宋"/>
          <w:sz w:val="32"/>
          <w:szCs w:val="32"/>
        </w:rPr>
        <w:t>（一）营业场所（满分15分）</w:t>
      </w:r>
    </w:p>
    <w:p w14:paraId="12A68EA5">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代理机构须有自己的营业场所，营业场所面积不小于150㎡。满足150㎡的得10分；不足150㎡的，每少20㎡扣1分，营业场所少于50㎡的，本项不得分；超过150㎡的，每增加50㎡加1分，最多加5分。面积增减不足20㎡或50㎡的，分别按插入法计算，四舍五入保留一位小数。同一场所由两个及以上代理机构共用的，只认定为一个代理机构的营业场所。评价对象提供的营业场所须已实际用于办公经营且具有必要的办公设备，否则不予认可。</w:t>
      </w:r>
    </w:p>
    <w:p w14:paraId="1154D3B2">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代理机构应提供营业场所证明材料：自有产权的，需提供相应的权属证书；租用的，需提供房屋租赁登记备案证明；不能办理房屋租赁备案手续的，应提供出租人书面情况说明和租赁双方合同。</w:t>
      </w:r>
    </w:p>
    <w:p w14:paraId="1DDECA2C">
      <w:pPr>
        <w:spacing w:line="560" w:lineRule="exact"/>
        <w:ind w:firstLine="640" w:firstLineChars="200"/>
        <w:rPr>
          <w:rFonts w:ascii="楷体" w:hAnsi="楷体" w:eastAsia="楷体" w:cs="仿宋"/>
          <w:sz w:val="32"/>
          <w:szCs w:val="32"/>
        </w:rPr>
      </w:pPr>
      <w:r>
        <w:rPr>
          <w:rFonts w:hint="eastAsia" w:ascii="楷体" w:hAnsi="楷体" w:eastAsia="楷体" w:cs="仿宋"/>
          <w:sz w:val="32"/>
          <w:szCs w:val="32"/>
        </w:rPr>
        <w:t>（二）从业人员（满分20分）</w:t>
      </w:r>
    </w:p>
    <w:p w14:paraId="3E6BAE64">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代理机构须有自己的专业人员，具备不少于2名注册造价工程师（至少1名一级注册造价工程师）和3名熟悉招投标业务（以被评价年度招标代理业务考试合格为据）的工作人员。满足以上条件的得基本分15分；每增加1名一级注册造价工程师加</w:t>
      </w:r>
      <w:r>
        <w:rPr>
          <w:rFonts w:hint="eastAsia" w:ascii="仿宋" w:hAnsi="仿宋" w:eastAsia="仿宋" w:cs="仿宋"/>
          <w:sz w:val="32"/>
          <w:szCs w:val="32"/>
          <w:lang w:val="en-US" w:eastAsia="zh-CN"/>
        </w:rPr>
        <w:t>2</w:t>
      </w:r>
      <w:r>
        <w:rPr>
          <w:rFonts w:hint="eastAsia" w:ascii="仿宋" w:hAnsi="仿宋" w:eastAsia="仿宋" w:cs="仿宋"/>
          <w:sz w:val="32"/>
          <w:szCs w:val="32"/>
        </w:rPr>
        <w:t>分，每增加1名二级注册造价师加1分，本项最多加5分；每少1人扣1分</w:t>
      </w:r>
      <w:r>
        <w:rPr>
          <w:rFonts w:hint="eastAsia" w:ascii="仿宋" w:hAnsi="仿宋" w:eastAsia="仿宋" w:cs="仿宋"/>
          <w:sz w:val="32"/>
          <w:szCs w:val="32"/>
          <w:lang w:eastAsia="zh-CN"/>
        </w:rPr>
        <w:t>；</w:t>
      </w:r>
      <w:r>
        <w:rPr>
          <w:rFonts w:hint="eastAsia" w:ascii="仿宋" w:hAnsi="仿宋" w:eastAsia="仿宋" w:cs="仿宋"/>
          <w:sz w:val="32"/>
          <w:szCs w:val="32"/>
        </w:rPr>
        <w:t>无一级注册造价工程师的本项不得分。上述人员必须在申请评价的代理机构实际在岗履职，且不得同时在两个及以上单位注册和从业，否则视为弄虚作假。</w:t>
      </w:r>
    </w:p>
    <w:p w14:paraId="40C56A49">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结合市场实际情况，</w:t>
      </w:r>
      <w:r>
        <w:rPr>
          <w:rFonts w:hint="eastAsia" w:ascii="仿宋" w:hAnsi="仿宋" w:eastAsia="仿宋" w:cs="仿宋"/>
          <w:color w:val="auto"/>
          <w:sz w:val="32"/>
          <w:szCs w:val="32"/>
        </w:rPr>
        <w:t>对于已办理独立营业执照的分公司会员，相关人员劳动合同原则上应与该分公司签订，社保原则上应由该分公司在连缴纳，特殊情况需作出书面合理说明并提供相关佐证依据，否则不予认可；对于外地公司在连注册子公司和本地注册的公司，相关人员劳动合同须与评价对象签订，社保须由评价对象在本地缴纳，否则原则上不予认可；</w:t>
      </w:r>
      <w:r>
        <w:rPr>
          <w:rFonts w:hint="eastAsia" w:ascii="仿宋" w:hAnsi="仿宋" w:eastAsia="仿宋" w:cs="仿宋"/>
          <w:sz w:val="32"/>
          <w:szCs w:val="32"/>
        </w:rPr>
        <w:t>确有其他特殊情况的，由评价对象书面申请说明，由市招标投标协会组织综合评价委员会集体研究确定。</w:t>
      </w:r>
    </w:p>
    <w:p w14:paraId="5A0BD94C">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sz w:val="32"/>
          <w:szCs w:val="32"/>
        </w:rPr>
        <w:t>评价对象应提供人员证明材料，包括注册证书、连续缴纳的</w:t>
      </w:r>
      <w:r>
        <w:rPr>
          <w:rFonts w:hint="eastAsia" w:ascii="仿宋" w:hAnsi="仿宋" w:eastAsia="仿宋" w:cs="仿宋"/>
          <w:color w:val="auto"/>
          <w:sz w:val="32"/>
          <w:szCs w:val="32"/>
        </w:rPr>
        <w:t>近</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个月社保证明和劳动合同（代理机构成立或新录人员聘用不满</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个月的，以实际时间为准）。退休返聘人员提供退休证书等材料后无需提供社保证明（需具备满足工作需要的身体条件）。从业人员评价期间须在岗在职并携带有效身份证供查验，确保“人证合一”，否则不予认可。所有人员中为在连社保缴纳者按以上相应分值的100%计数、为非在连缴纳者按以上相应分值的50%计数、退休人员按以上相应分值的50%计数，且非在连缴纳者、退休人员累计得分最高得2分。即本加分项得分=(连社保缴纳者100%计数 +非在连缴纳者及退休人员按以上相应分值的50%计数（≤2分）)≤5分</w:t>
      </w:r>
      <w:r>
        <w:rPr>
          <w:rFonts w:hint="eastAsia" w:ascii="仿宋" w:hAnsi="仿宋" w:eastAsia="仿宋" w:cs="仿宋"/>
          <w:color w:val="auto"/>
          <w:sz w:val="32"/>
          <w:szCs w:val="32"/>
          <w:lang w:eastAsia="zh-CN"/>
        </w:rPr>
        <w:t>。</w:t>
      </w:r>
    </w:p>
    <w:p w14:paraId="60C1F312">
      <w:pPr>
        <w:spacing w:line="560" w:lineRule="exact"/>
        <w:ind w:firstLine="640" w:firstLineChars="200"/>
        <w:rPr>
          <w:rFonts w:ascii="楷体" w:hAnsi="楷体" w:eastAsia="楷体" w:cs="仿宋"/>
          <w:sz w:val="32"/>
          <w:szCs w:val="32"/>
        </w:rPr>
      </w:pPr>
      <w:r>
        <w:rPr>
          <w:rFonts w:hint="eastAsia" w:ascii="楷体" w:hAnsi="楷体" w:eastAsia="楷体" w:cs="仿宋"/>
          <w:sz w:val="32"/>
          <w:szCs w:val="32"/>
        </w:rPr>
        <w:t>（三）代理业绩（满分15分）</w:t>
      </w:r>
    </w:p>
    <w:p w14:paraId="4EA645B7">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评价对象在2025年1月1日至12月31日期间，在连云港市范围内完成过1项招标代理业务，且无严重业务缺陷和失信行为的，即可得基本分12分；完成过2项及以上（要求同上）的，得15分。代理业务必须由申请评价的招标代理机构完成（以实际在岗履职的代理项目负责人和一级注册造价工程师为据），否则不予认可。本款所称代理业务须为建设工程项目，有完整的招投标资料，且招标过程无严重违法违规行为。</w:t>
      </w:r>
    </w:p>
    <w:p w14:paraId="3A0C0949">
      <w:pPr>
        <w:spacing w:line="560" w:lineRule="exact"/>
        <w:ind w:firstLine="640" w:firstLineChars="200"/>
        <w:rPr>
          <w:rFonts w:ascii="楷体" w:hAnsi="楷体" w:eastAsia="楷体" w:cs="仿宋"/>
          <w:sz w:val="32"/>
          <w:szCs w:val="32"/>
        </w:rPr>
      </w:pPr>
      <w:r>
        <w:rPr>
          <w:rFonts w:hint="eastAsia" w:ascii="楷体" w:hAnsi="楷体" w:eastAsia="楷体" w:cs="仿宋"/>
          <w:sz w:val="32"/>
          <w:szCs w:val="32"/>
        </w:rPr>
        <w:t>（四）其他材料（满分10分）</w:t>
      </w:r>
    </w:p>
    <w:p w14:paraId="5D2E062A">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评价对象提供符合规定的营业执照</w:t>
      </w:r>
      <w:r>
        <w:rPr>
          <w:rFonts w:hint="eastAsia" w:ascii="仿宋" w:hAnsi="仿宋" w:eastAsia="仿宋" w:cs="仿宋"/>
          <w:sz w:val="32"/>
          <w:szCs w:val="32"/>
          <w:lang w:eastAsia="zh-CN"/>
        </w:rPr>
        <w:t>、办公用房、人员相关</w:t>
      </w:r>
      <w:r>
        <w:rPr>
          <w:rFonts w:hint="eastAsia" w:ascii="仿宋" w:hAnsi="仿宋" w:eastAsia="仿宋" w:cs="仿宋"/>
          <w:sz w:val="32"/>
          <w:szCs w:val="32"/>
        </w:rPr>
        <w:t>材料</w:t>
      </w:r>
      <w:r>
        <w:rPr>
          <w:rFonts w:hint="eastAsia" w:ascii="仿宋" w:hAnsi="仿宋" w:eastAsia="仿宋" w:cs="仿宋"/>
          <w:sz w:val="32"/>
          <w:szCs w:val="32"/>
          <w:lang w:eastAsia="zh-CN"/>
        </w:rPr>
        <w:t>，且已在监管平台录入相关信息的本项合格</w:t>
      </w:r>
      <w:r>
        <w:rPr>
          <w:rFonts w:hint="eastAsia" w:ascii="仿宋" w:hAnsi="仿宋" w:eastAsia="仿宋" w:cs="仿宋"/>
          <w:sz w:val="32"/>
          <w:szCs w:val="32"/>
        </w:rPr>
        <w:t>；材料严重不齐</w:t>
      </w:r>
      <w:r>
        <w:rPr>
          <w:rFonts w:hint="eastAsia" w:ascii="仿宋" w:hAnsi="仿宋" w:eastAsia="仿宋" w:cs="仿宋"/>
          <w:sz w:val="32"/>
          <w:szCs w:val="32"/>
          <w:lang w:eastAsia="zh-CN"/>
        </w:rPr>
        <w:t>或未按照规定录入信息</w:t>
      </w:r>
      <w:r>
        <w:rPr>
          <w:rFonts w:hint="eastAsia" w:ascii="仿宋" w:hAnsi="仿宋" w:eastAsia="仿宋" w:cs="仿宋"/>
          <w:sz w:val="32"/>
          <w:szCs w:val="32"/>
        </w:rPr>
        <w:t>，本项不得分。</w:t>
      </w:r>
    </w:p>
    <w:p w14:paraId="7D228127">
      <w:pPr>
        <w:spacing w:line="560" w:lineRule="exact"/>
        <w:rPr>
          <w:rFonts w:ascii="黑体" w:hAnsi="黑体" w:eastAsia="黑体" w:cs="黑体"/>
          <w:sz w:val="32"/>
          <w:szCs w:val="32"/>
        </w:rPr>
      </w:pPr>
    </w:p>
    <w:p w14:paraId="732D8E6C">
      <w:pPr>
        <w:spacing w:line="560" w:lineRule="exact"/>
        <w:rPr>
          <w:rFonts w:ascii="黑体" w:hAnsi="黑体" w:eastAsia="黑体" w:cs="黑体"/>
          <w:sz w:val="32"/>
          <w:szCs w:val="32"/>
        </w:rPr>
      </w:pPr>
    </w:p>
    <w:p w14:paraId="3E0CC9F5">
      <w:pPr>
        <w:rPr>
          <w:rFonts w:ascii="黑体" w:hAnsi="黑体" w:eastAsia="黑体" w:cs="黑体"/>
          <w:sz w:val="32"/>
          <w:szCs w:val="32"/>
        </w:rPr>
      </w:pPr>
      <w:r>
        <w:rPr>
          <w:rFonts w:ascii="黑体" w:hAnsi="黑体" w:eastAsia="黑体" w:cs="黑体"/>
          <w:sz w:val="32"/>
          <w:szCs w:val="32"/>
        </w:rPr>
        <w:br w:type="page"/>
      </w:r>
    </w:p>
    <w:p w14:paraId="59C37675">
      <w:pPr>
        <w:spacing w:line="560" w:lineRule="exact"/>
        <w:rPr>
          <w:rFonts w:ascii="黑体" w:hAnsi="黑体" w:eastAsia="黑体" w:cs="黑体"/>
          <w:sz w:val="32"/>
          <w:szCs w:val="32"/>
        </w:rPr>
      </w:pPr>
      <w:r>
        <w:rPr>
          <w:rFonts w:hint="eastAsia" w:ascii="黑体" w:hAnsi="黑体" w:eastAsia="黑体" w:cs="黑体"/>
          <w:sz w:val="32"/>
          <w:szCs w:val="32"/>
        </w:rPr>
        <w:t>附件2</w:t>
      </w:r>
    </w:p>
    <w:p w14:paraId="1C67EB58">
      <w:pPr>
        <w:spacing w:line="560" w:lineRule="exact"/>
        <w:rPr>
          <w:rFonts w:ascii="黑体" w:hAnsi="黑体" w:eastAsia="黑体" w:cs="黑体"/>
          <w:sz w:val="32"/>
          <w:szCs w:val="32"/>
        </w:rPr>
      </w:pPr>
    </w:p>
    <w:p w14:paraId="55E99A86">
      <w:pPr>
        <w:snapToGrid w:val="0"/>
        <w:spacing w:line="600" w:lineRule="exact"/>
        <w:jc w:val="center"/>
        <w:rPr>
          <w:rFonts w:ascii="方正小标宋_GBK" w:hAnsi="黑体" w:eastAsia="方正小标宋_GBK"/>
          <w:sz w:val="44"/>
          <w:szCs w:val="44"/>
        </w:rPr>
      </w:pPr>
      <w:r>
        <w:rPr>
          <w:rFonts w:hint="eastAsia" w:ascii="方正小标宋_GBK" w:hAnsi="黑体" w:eastAsia="方正小标宋_GBK"/>
          <w:sz w:val="44"/>
          <w:szCs w:val="44"/>
        </w:rPr>
        <w:t>实际经营行为评价计分细则</w:t>
      </w:r>
    </w:p>
    <w:p w14:paraId="1B334B6D">
      <w:pPr>
        <w:spacing w:line="600" w:lineRule="exact"/>
        <w:jc w:val="center"/>
        <w:rPr>
          <w:rFonts w:ascii="仿宋" w:hAnsi="仿宋" w:eastAsia="仿宋" w:cs="仿宋"/>
          <w:sz w:val="32"/>
          <w:szCs w:val="32"/>
        </w:rPr>
      </w:pPr>
    </w:p>
    <w:p w14:paraId="0F9B04B2">
      <w:pPr>
        <w:spacing w:line="600" w:lineRule="exact"/>
        <w:jc w:val="center"/>
        <w:rPr>
          <w:rFonts w:ascii="仿宋" w:hAnsi="仿宋" w:eastAsia="仿宋" w:cs="仿宋"/>
          <w:b/>
          <w:bCs/>
          <w:sz w:val="32"/>
          <w:szCs w:val="32"/>
        </w:rPr>
      </w:pPr>
      <w:r>
        <w:rPr>
          <w:rFonts w:hint="eastAsia" w:ascii="仿宋" w:hAnsi="仿宋" w:eastAsia="仿宋" w:cs="仿宋"/>
          <w:b/>
          <w:bCs/>
          <w:sz w:val="32"/>
          <w:szCs w:val="32"/>
        </w:rPr>
        <w:t>第一章 总则</w:t>
      </w:r>
    </w:p>
    <w:p w14:paraId="25D0DBC5">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第一条 为全面体现连云港市建设工程招标代理综合评价对象（以下简称评价对象）的实际从业表现，使综合评价更加科学合理，形成积极的价值导向，依据《中华人民共和国招标投标法》《中华人民共和国招标投标法实施条例》《江苏省招标投标条例》等法律法规，制定本细则。</w:t>
      </w:r>
    </w:p>
    <w:p w14:paraId="314E13CC">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第二条 本细则适用于连云港市建设工程招标代理综合评价的实际经营行为分值计算。</w:t>
      </w:r>
    </w:p>
    <w:p w14:paraId="431FAB7F">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第三条 实际经营行为评价计算得出的加分和减分总数可以乘以系数X后再计入量化评价总分。X的具体值由市招标投标协会组织研究确定。未经研究的，X值取1.0。</w:t>
      </w:r>
    </w:p>
    <w:p w14:paraId="4F948618">
      <w:pPr>
        <w:spacing w:line="600" w:lineRule="exact"/>
        <w:ind w:firstLine="640" w:firstLineChars="200"/>
        <w:rPr>
          <w:rFonts w:ascii="仿宋" w:hAnsi="仿宋" w:eastAsia="仿宋" w:cs="仿宋"/>
          <w:b/>
          <w:bCs/>
          <w:sz w:val="32"/>
          <w:szCs w:val="32"/>
        </w:rPr>
      </w:pPr>
      <w:r>
        <w:rPr>
          <w:rFonts w:hint="eastAsia" w:ascii="仿宋" w:hAnsi="仿宋" w:eastAsia="仿宋" w:cs="仿宋"/>
          <w:sz w:val="32"/>
          <w:szCs w:val="32"/>
        </w:rPr>
        <w:t>第四条 实际经营行为评价分值加分和减分以评价对象自身的实际行为为依据，非由评价对象实际实施的行为不予认可。</w:t>
      </w:r>
    </w:p>
    <w:p w14:paraId="5B603A87">
      <w:pPr>
        <w:spacing w:line="600" w:lineRule="exact"/>
        <w:jc w:val="center"/>
        <w:rPr>
          <w:rFonts w:ascii="仿宋" w:hAnsi="仿宋" w:eastAsia="仿宋" w:cs="仿宋"/>
          <w:b/>
          <w:bCs/>
          <w:sz w:val="32"/>
          <w:szCs w:val="32"/>
        </w:rPr>
      </w:pPr>
      <w:r>
        <w:rPr>
          <w:rFonts w:hint="eastAsia" w:ascii="仿宋" w:hAnsi="仿宋" w:eastAsia="仿宋" w:cs="仿宋"/>
          <w:b/>
          <w:bCs/>
          <w:sz w:val="32"/>
          <w:szCs w:val="32"/>
        </w:rPr>
        <w:t>第二章 加分</w:t>
      </w:r>
    </w:p>
    <w:p w14:paraId="4FD53905">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第五条 评价对象在“江苏省建设工程招投标行政监督平台”中完成我市建设工程招标代理项目可获得业务评价加分，计分方法如下。</w:t>
      </w:r>
    </w:p>
    <w:p w14:paraId="65975C49">
      <w:pPr>
        <w:spacing w:line="600" w:lineRule="exact"/>
        <w:ind w:firstLine="2570" w:firstLineChars="800"/>
        <w:rPr>
          <w:rFonts w:hint="eastAsia" w:ascii="仿宋" w:hAnsi="仿宋" w:eastAsia="仿宋" w:cs="仿宋"/>
          <w:b/>
          <w:bCs/>
          <w:sz w:val="32"/>
          <w:szCs w:val="32"/>
        </w:rPr>
      </w:pPr>
    </w:p>
    <w:p w14:paraId="212C1B63">
      <w:pPr>
        <w:spacing w:line="600" w:lineRule="exact"/>
        <w:ind w:firstLine="2570" w:firstLineChars="800"/>
        <w:rPr>
          <w:rFonts w:hint="eastAsia" w:ascii="仿宋" w:hAnsi="仿宋" w:eastAsia="仿宋" w:cs="仿宋"/>
          <w:b/>
          <w:bCs/>
          <w:sz w:val="32"/>
          <w:szCs w:val="32"/>
        </w:rPr>
      </w:pPr>
    </w:p>
    <w:p w14:paraId="2568AB68">
      <w:pPr>
        <w:spacing w:line="600" w:lineRule="exact"/>
        <w:ind w:firstLine="2570" w:firstLineChars="800"/>
        <w:rPr>
          <w:rFonts w:hint="eastAsia" w:ascii="仿宋" w:hAnsi="仿宋" w:eastAsia="仿宋" w:cs="仿宋"/>
          <w:b/>
          <w:bCs/>
          <w:sz w:val="32"/>
          <w:szCs w:val="32"/>
        </w:rPr>
      </w:pPr>
    </w:p>
    <w:p w14:paraId="7FD4901B">
      <w:pPr>
        <w:spacing w:line="600" w:lineRule="exact"/>
        <w:ind w:firstLine="2570" w:firstLineChars="800"/>
        <w:rPr>
          <w:rFonts w:ascii="仿宋" w:hAnsi="仿宋" w:eastAsia="仿宋" w:cs="仿宋"/>
          <w:b/>
          <w:bCs/>
          <w:sz w:val="32"/>
          <w:szCs w:val="32"/>
        </w:rPr>
      </w:pPr>
      <w:r>
        <w:rPr>
          <w:rFonts w:hint="eastAsia" w:ascii="仿宋" w:hAnsi="仿宋" w:eastAsia="仿宋" w:cs="仿宋"/>
          <w:b/>
          <w:bCs/>
          <w:sz w:val="32"/>
          <w:szCs w:val="32"/>
        </w:rPr>
        <w:t>代理项目加分标准（表1）</w:t>
      </w:r>
    </w:p>
    <w:tbl>
      <w:tblPr>
        <w:tblStyle w:val="10"/>
        <w:tblW w:w="0" w:type="auto"/>
        <w:tblInd w:w="3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4230"/>
        <w:gridCol w:w="3198"/>
      </w:tblGrid>
      <w:tr w14:paraId="30722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Align w:val="center"/>
          </w:tcPr>
          <w:p w14:paraId="15977AE8">
            <w:pPr>
              <w:spacing w:line="600" w:lineRule="exact"/>
              <w:jc w:val="center"/>
              <w:rPr>
                <w:rFonts w:ascii="仿宋" w:hAnsi="仿宋" w:eastAsia="仿宋" w:cs="仿宋"/>
                <w:sz w:val="32"/>
                <w:szCs w:val="32"/>
              </w:rPr>
            </w:pPr>
            <w:r>
              <w:rPr>
                <w:rFonts w:hint="eastAsia" w:ascii="仿宋" w:hAnsi="仿宋" w:eastAsia="仿宋" w:cs="仿宋"/>
                <w:sz w:val="32"/>
                <w:szCs w:val="32"/>
              </w:rPr>
              <w:t>序号</w:t>
            </w:r>
          </w:p>
        </w:tc>
        <w:tc>
          <w:tcPr>
            <w:tcW w:w="4230" w:type="dxa"/>
            <w:vAlign w:val="center"/>
          </w:tcPr>
          <w:p w14:paraId="5119CF84">
            <w:pPr>
              <w:spacing w:line="600" w:lineRule="exact"/>
              <w:jc w:val="center"/>
              <w:rPr>
                <w:rFonts w:ascii="仿宋" w:hAnsi="仿宋" w:eastAsia="仿宋" w:cs="仿宋"/>
                <w:sz w:val="32"/>
                <w:szCs w:val="32"/>
              </w:rPr>
            </w:pPr>
            <w:r>
              <w:rPr>
                <w:rFonts w:hint="eastAsia" w:ascii="仿宋" w:hAnsi="仿宋" w:eastAsia="仿宋" w:cs="仿宋"/>
                <w:sz w:val="32"/>
                <w:szCs w:val="32"/>
              </w:rPr>
              <w:t>标段规模</w:t>
            </w:r>
          </w:p>
        </w:tc>
        <w:tc>
          <w:tcPr>
            <w:tcW w:w="3198" w:type="dxa"/>
            <w:vAlign w:val="center"/>
          </w:tcPr>
          <w:p w14:paraId="3C0FC92B">
            <w:pPr>
              <w:spacing w:line="600" w:lineRule="exact"/>
              <w:jc w:val="center"/>
              <w:rPr>
                <w:rFonts w:ascii="仿宋" w:hAnsi="仿宋" w:eastAsia="仿宋" w:cs="仿宋"/>
                <w:sz w:val="32"/>
                <w:szCs w:val="32"/>
              </w:rPr>
            </w:pPr>
            <w:r>
              <w:rPr>
                <w:rFonts w:hint="eastAsia" w:ascii="仿宋" w:hAnsi="仿宋" w:eastAsia="仿宋" w:cs="仿宋"/>
                <w:sz w:val="32"/>
                <w:szCs w:val="32"/>
              </w:rPr>
              <w:t>加分标准</w:t>
            </w:r>
          </w:p>
        </w:tc>
      </w:tr>
      <w:tr w14:paraId="14473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Align w:val="center"/>
          </w:tcPr>
          <w:p w14:paraId="00D59BEF">
            <w:pPr>
              <w:spacing w:line="600" w:lineRule="exact"/>
              <w:jc w:val="center"/>
              <w:rPr>
                <w:rFonts w:ascii="仿宋" w:hAnsi="仿宋" w:eastAsia="仿宋" w:cs="仿宋"/>
                <w:sz w:val="32"/>
                <w:szCs w:val="32"/>
              </w:rPr>
            </w:pPr>
            <w:r>
              <w:rPr>
                <w:rFonts w:hint="eastAsia" w:ascii="仿宋" w:hAnsi="仿宋" w:eastAsia="仿宋" w:cs="仿宋"/>
                <w:sz w:val="32"/>
                <w:szCs w:val="32"/>
              </w:rPr>
              <w:t>1</w:t>
            </w:r>
          </w:p>
        </w:tc>
        <w:tc>
          <w:tcPr>
            <w:tcW w:w="4230" w:type="dxa"/>
            <w:vAlign w:val="center"/>
          </w:tcPr>
          <w:p w14:paraId="46C74AC1">
            <w:pPr>
              <w:spacing w:line="600" w:lineRule="exact"/>
              <w:jc w:val="center"/>
              <w:rPr>
                <w:rFonts w:ascii="仿宋" w:hAnsi="仿宋" w:eastAsia="仿宋" w:cs="仿宋"/>
                <w:sz w:val="32"/>
                <w:szCs w:val="32"/>
              </w:rPr>
            </w:pPr>
            <w:r>
              <w:rPr>
                <w:rFonts w:hint="eastAsia" w:ascii="仿宋" w:hAnsi="仿宋" w:eastAsia="仿宋" w:cs="仿宋"/>
                <w:sz w:val="32"/>
                <w:szCs w:val="32"/>
              </w:rPr>
              <w:t>EPC或评定分离项目</w:t>
            </w:r>
          </w:p>
        </w:tc>
        <w:tc>
          <w:tcPr>
            <w:tcW w:w="3198" w:type="dxa"/>
            <w:vAlign w:val="center"/>
          </w:tcPr>
          <w:p w14:paraId="6E21C5F5">
            <w:pPr>
              <w:spacing w:line="600" w:lineRule="exact"/>
              <w:jc w:val="center"/>
              <w:rPr>
                <w:rFonts w:ascii="仿宋" w:hAnsi="仿宋" w:eastAsia="仿宋" w:cs="仿宋"/>
                <w:sz w:val="32"/>
                <w:szCs w:val="32"/>
              </w:rPr>
            </w:pPr>
            <w:r>
              <w:rPr>
                <w:rFonts w:hint="eastAsia" w:ascii="仿宋" w:hAnsi="仿宋" w:eastAsia="仿宋" w:cs="仿宋"/>
                <w:sz w:val="32"/>
                <w:szCs w:val="32"/>
              </w:rPr>
              <w:t>1.5分/项</w:t>
            </w:r>
          </w:p>
        </w:tc>
      </w:tr>
      <w:tr w14:paraId="3986C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Align w:val="center"/>
          </w:tcPr>
          <w:p w14:paraId="73CAF76B">
            <w:pPr>
              <w:spacing w:line="600" w:lineRule="exact"/>
              <w:jc w:val="center"/>
              <w:rPr>
                <w:rFonts w:ascii="仿宋" w:hAnsi="仿宋" w:eastAsia="仿宋" w:cs="仿宋"/>
                <w:sz w:val="32"/>
                <w:szCs w:val="32"/>
              </w:rPr>
            </w:pPr>
            <w:r>
              <w:rPr>
                <w:rFonts w:hint="eastAsia" w:ascii="仿宋" w:hAnsi="仿宋" w:eastAsia="仿宋" w:cs="仿宋"/>
                <w:sz w:val="32"/>
                <w:szCs w:val="32"/>
              </w:rPr>
              <w:t>2</w:t>
            </w:r>
          </w:p>
        </w:tc>
        <w:tc>
          <w:tcPr>
            <w:tcW w:w="4230" w:type="dxa"/>
            <w:vAlign w:val="center"/>
          </w:tcPr>
          <w:p w14:paraId="246E015C">
            <w:pPr>
              <w:spacing w:line="600" w:lineRule="exact"/>
              <w:jc w:val="center"/>
              <w:rPr>
                <w:rFonts w:ascii="仿宋" w:hAnsi="仿宋" w:eastAsia="仿宋" w:cs="仿宋"/>
                <w:sz w:val="32"/>
                <w:szCs w:val="32"/>
              </w:rPr>
            </w:pPr>
            <w:r>
              <w:rPr>
                <w:rFonts w:hint="eastAsia" w:ascii="仿宋" w:hAnsi="仿宋" w:eastAsia="仿宋" w:cs="仿宋"/>
                <w:sz w:val="32"/>
                <w:szCs w:val="32"/>
              </w:rPr>
              <w:t>1亿以上（估算价，下同）</w:t>
            </w:r>
          </w:p>
        </w:tc>
        <w:tc>
          <w:tcPr>
            <w:tcW w:w="3198" w:type="dxa"/>
            <w:vAlign w:val="center"/>
          </w:tcPr>
          <w:p w14:paraId="59A08D0A">
            <w:pPr>
              <w:spacing w:line="600" w:lineRule="exact"/>
              <w:jc w:val="center"/>
              <w:rPr>
                <w:rFonts w:ascii="仿宋" w:hAnsi="仿宋" w:eastAsia="仿宋" w:cs="仿宋"/>
                <w:sz w:val="32"/>
                <w:szCs w:val="32"/>
              </w:rPr>
            </w:pPr>
            <w:r>
              <w:rPr>
                <w:rFonts w:hint="eastAsia" w:ascii="仿宋" w:hAnsi="仿宋" w:eastAsia="仿宋" w:cs="仿宋"/>
                <w:sz w:val="32"/>
                <w:szCs w:val="32"/>
              </w:rPr>
              <w:t>1.3分/项</w:t>
            </w:r>
          </w:p>
        </w:tc>
      </w:tr>
      <w:tr w14:paraId="6E84B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Align w:val="center"/>
          </w:tcPr>
          <w:p w14:paraId="3E46C5F0">
            <w:pPr>
              <w:spacing w:line="600" w:lineRule="exact"/>
              <w:jc w:val="center"/>
              <w:rPr>
                <w:rFonts w:ascii="仿宋" w:hAnsi="仿宋" w:eastAsia="仿宋" w:cs="仿宋"/>
                <w:sz w:val="32"/>
                <w:szCs w:val="32"/>
              </w:rPr>
            </w:pPr>
            <w:r>
              <w:rPr>
                <w:rFonts w:hint="eastAsia" w:ascii="仿宋" w:hAnsi="仿宋" w:eastAsia="仿宋" w:cs="仿宋"/>
                <w:sz w:val="32"/>
                <w:szCs w:val="32"/>
              </w:rPr>
              <w:t>3</w:t>
            </w:r>
          </w:p>
        </w:tc>
        <w:tc>
          <w:tcPr>
            <w:tcW w:w="4230" w:type="dxa"/>
            <w:vAlign w:val="center"/>
          </w:tcPr>
          <w:p w14:paraId="1DA7257C">
            <w:pPr>
              <w:spacing w:line="600" w:lineRule="exact"/>
              <w:jc w:val="center"/>
              <w:rPr>
                <w:rFonts w:ascii="仿宋" w:hAnsi="仿宋" w:eastAsia="仿宋" w:cs="仿宋"/>
                <w:sz w:val="32"/>
                <w:szCs w:val="32"/>
              </w:rPr>
            </w:pPr>
            <w:r>
              <w:rPr>
                <w:rFonts w:hint="eastAsia" w:ascii="仿宋" w:hAnsi="仿宋" w:eastAsia="仿宋" w:cs="仿宋"/>
                <w:sz w:val="32"/>
                <w:szCs w:val="32"/>
                <w:lang w:eastAsia="zh-CN"/>
              </w:rPr>
              <w:t>限额以上、</w:t>
            </w:r>
            <w:r>
              <w:rPr>
                <w:rFonts w:hint="eastAsia" w:ascii="仿宋" w:hAnsi="仿宋" w:eastAsia="仿宋" w:cs="仿宋"/>
                <w:sz w:val="32"/>
                <w:szCs w:val="32"/>
              </w:rPr>
              <w:t>1亿以下</w:t>
            </w:r>
          </w:p>
        </w:tc>
        <w:tc>
          <w:tcPr>
            <w:tcW w:w="3198" w:type="dxa"/>
            <w:vAlign w:val="center"/>
          </w:tcPr>
          <w:p w14:paraId="61BC3600">
            <w:pPr>
              <w:spacing w:line="600" w:lineRule="exact"/>
              <w:jc w:val="center"/>
              <w:rPr>
                <w:rFonts w:ascii="仿宋" w:hAnsi="仿宋" w:eastAsia="仿宋" w:cs="仿宋"/>
                <w:sz w:val="32"/>
                <w:szCs w:val="32"/>
              </w:rPr>
            </w:pPr>
            <w:r>
              <w:rPr>
                <w:rFonts w:hint="eastAsia" w:ascii="仿宋" w:hAnsi="仿宋" w:eastAsia="仿宋" w:cs="仿宋"/>
                <w:sz w:val="32"/>
                <w:szCs w:val="32"/>
              </w:rPr>
              <w:t>1分/项</w:t>
            </w:r>
          </w:p>
        </w:tc>
      </w:tr>
      <w:tr w14:paraId="19EA8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Align w:val="center"/>
          </w:tcPr>
          <w:p w14:paraId="779DE76E">
            <w:pPr>
              <w:spacing w:line="600" w:lineRule="exact"/>
              <w:jc w:val="center"/>
              <w:rPr>
                <w:rFonts w:ascii="仿宋" w:hAnsi="仿宋" w:eastAsia="仿宋" w:cs="仿宋"/>
                <w:sz w:val="32"/>
                <w:szCs w:val="32"/>
              </w:rPr>
            </w:pPr>
            <w:r>
              <w:rPr>
                <w:rFonts w:hint="eastAsia" w:ascii="仿宋" w:hAnsi="仿宋" w:eastAsia="仿宋" w:cs="仿宋"/>
                <w:sz w:val="32"/>
                <w:szCs w:val="32"/>
              </w:rPr>
              <w:t>4</w:t>
            </w:r>
          </w:p>
        </w:tc>
        <w:tc>
          <w:tcPr>
            <w:tcW w:w="4230" w:type="dxa"/>
            <w:vAlign w:val="center"/>
          </w:tcPr>
          <w:p w14:paraId="701F5AF0">
            <w:pPr>
              <w:spacing w:line="600" w:lineRule="exact"/>
              <w:jc w:val="center"/>
              <w:rPr>
                <w:rFonts w:ascii="仿宋" w:hAnsi="仿宋" w:eastAsia="仿宋" w:cs="仿宋"/>
                <w:sz w:val="32"/>
                <w:szCs w:val="32"/>
              </w:rPr>
            </w:pPr>
            <w:r>
              <w:rPr>
                <w:rFonts w:hint="eastAsia" w:ascii="仿宋" w:hAnsi="仿宋" w:eastAsia="仿宋" w:cs="仿宋"/>
                <w:sz w:val="32"/>
                <w:szCs w:val="32"/>
              </w:rPr>
              <w:t>专项检查未发现违法违规</w:t>
            </w:r>
          </w:p>
        </w:tc>
        <w:tc>
          <w:tcPr>
            <w:tcW w:w="3198" w:type="dxa"/>
            <w:vAlign w:val="center"/>
          </w:tcPr>
          <w:p w14:paraId="06929A6F">
            <w:pPr>
              <w:spacing w:line="600" w:lineRule="exact"/>
              <w:jc w:val="center"/>
              <w:rPr>
                <w:rFonts w:ascii="仿宋" w:hAnsi="仿宋" w:eastAsia="仿宋" w:cs="仿宋"/>
                <w:sz w:val="32"/>
                <w:szCs w:val="32"/>
              </w:rPr>
            </w:pPr>
            <w:r>
              <w:rPr>
                <w:rFonts w:hint="eastAsia" w:ascii="仿宋" w:hAnsi="仿宋" w:eastAsia="仿宋" w:cs="仿宋"/>
                <w:sz w:val="32"/>
                <w:szCs w:val="32"/>
              </w:rPr>
              <w:t>0.5分/项</w:t>
            </w:r>
          </w:p>
        </w:tc>
      </w:tr>
    </w:tbl>
    <w:p w14:paraId="6BAF0D86">
      <w:pPr>
        <w:spacing w:line="600" w:lineRule="exact"/>
        <w:ind w:firstLine="2570" w:firstLineChars="800"/>
        <w:rPr>
          <w:rFonts w:ascii="仿宋" w:hAnsi="仿宋" w:eastAsia="仿宋" w:cs="仿宋"/>
          <w:b/>
          <w:bCs/>
          <w:sz w:val="32"/>
          <w:szCs w:val="32"/>
        </w:rPr>
      </w:pPr>
      <w:r>
        <w:rPr>
          <w:rFonts w:hint="eastAsia" w:ascii="仿宋" w:hAnsi="仿宋" w:eastAsia="仿宋" w:cs="仿宋"/>
          <w:b/>
          <w:bCs/>
          <w:sz w:val="32"/>
          <w:szCs w:val="32"/>
        </w:rPr>
        <w:t>业务评价加分权重（表2）</w:t>
      </w:r>
    </w:p>
    <w:tbl>
      <w:tblPr>
        <w:tblStyle w:val="10"/>
        <w:tblW w:w="0" w:type="auto"/>
        <w:tblInd w:w="3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4230"/>
        <w:gridCol w:w="3198"/>
      </w:tblGrid>
      <w:tr w14:paraId="673B3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Align w:val="center"/>
          </w:tcPr>
          <w:p w14:paraId="12205623">
            <w:pPr>
              <w:spacing w:line="600" w:lineRule="exact"/>
              <w:jc w:val="center"/>
              <w:rPr>
                <w:rFonts w:ascii="仿宋" w:hAnsi="仿宋" w:eastAsia="仿宋" w:cs="仿宋"/>
                <w:sz w:val="32"/>
                <w:szCs w:val="32"/>
              </w:rPr>
            </w:pPr>
            <w:r>
              <w:rPr>
                <w:rFonts w:hint="eastAsia" w:ascii="仿宋" w:hAnsi="仿宋" w:eastAsia="仿宋" w:cs="仿宋"/>
                <w:sz w:val="32"/>
                <w:szCs w:val="32"/>
              </w:rPr>
              <w:t>序号</w:t>
            </w:r>
          </w:p>
        </w:tc>
        <w:tc>
          <w:tcPr>
            <w:tcW w:w="4230" w:type="dxa"/>
            <w:vAlign w:val="center"/>
          </w:tcPr>
          <w:p w14:paraId="458AC741">
            <w:pPr>
              <w:spacing w:line="600" w:lineRule="exact"/>
              <w:jc w:val="center"/>
              <w:rPr>
                <w:rFonts w:ascii="仿宋" w:hAnsi="仿宋" w:eastAsia="仿宋" w:cs="仿宋"/>
                <w:sz w:val="32"/>
                <w:szCs w:val="32"/>
              </w:rPr>
            </w:pPr>
            <w:r>
              <w:rPr>
                <w:rFonts w:hint="eastAsia" w:ascii="仿宋" w:hAnsi="仿宋" w:eastAsia="仿宋" w:cs="仿宋"/>
                <w:sz w:val="32"/>
                <w:szCs w:val="32"/>
              </w:rPr>
              <w:t>代理项目加分（分）</w:t>
            </w:r>
          </w:p>
        </w:tc>
        <w:tc>
          <w:tcPr>
            <w:tcW w:w="3198" w:type="dxa"/>
            <w:vAlign w:val="center"/>
          </w:tcPr>
          <w:p w14:paraId="6A48E3C7">
            <w:pPr>
              <w:spacing w:line="600" w:lineRule="exact"/>
              <w:jc w:val="center"/>
              <w:rPr>
                <w:rFonts w:ascii="仿宋" w:hAnsi="仿宋" w:eastAsia="仿宋" w:cs="仿宋"/>
                <w:sz w:val="32"/>
                <w:szCs w:val="32"/>
              </w:rPr>
            </w:pPr>
            <w:r>
              <w:rPr>
                <w:rFonts w:hint="eastAsia" w:ascii="仿宋" w:hAnsi="仿宋" w:eastAsia="仿宋" w:cs="仿宋"/>
                <w:sz w:val="32"/>
                <w:szCs w:val="32"/>
              </w:rPr>
              <w:t>加分比例</w:t>
            </w:r>
          </w:p>
        </w:tc>
      </w:tr>
      <w:tr w14:paraId="2C2A7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Align w:val="center"/>
          </w:tcPr>
          <w:p w14:paraId="30B97AB7">
            <w:pPr>
              <w:spacing w:line="600" w:lineRule="exact"/>
              <w:jc w:val="center"/>
              <w:rPr>
                <w:rFonts w:ascii="仿宋" w:hAnsi="仿宋" w:eastAsia="仿宋" w:cs="仿宋"/>
                <w:sz w:val="32"/>
                <w:szCs w:val="32"/>
              </w:rPr>
            </w:pPr>
            <w:r>
              <w:rPr>
                <w:rFonts w:hint="eastAsia" w:ascii="仿宋" w:hAnsi="仿宋" w:eastAsia="仿宋" w:cs="仿宋"/>
                <w:sz w:val="32"/>
                <w:szCs w:val="32"/>
              </w:rPr>
              <w:t>1</w:t>
            </w:r>
          </w:p>
        </w:tc>
        <w:tc>
          <w:tcPr>
            <w:tcW w:w="4230" w:type="dxa"/>
            <w:vAlign w:val="center"/>
          </w:tcPr>
          <w:p w14:paraId="6B32C645">
            <w:pPr>
              <w:spacing w:line="600" w:lineRule="exact"/>
              <w:jc w:val="center"/>
              <w:rPr>
                <w:rFonts w:ascii="仿宋" w:hAnsi="仿宋" w:eastAsia="仿宋" w:cs="仿宋"/>
                <w:sz w:val="32"/>
                <w:szCs w:val="32"/>
              </w:rPr>
            </w:pPr>
            <w:r>
              <w:rPr>
                <w:rFonts w:hint="eastAsia" w:ascii="仿宋" w:hAnsi="仿宋" w:eastAsia="仿宋" w:cs="仿宋"/>
                <w:sz w:val="32"/>
                <w:szCs w:val="32"/>
              </w:rPr>
              <w:t>0-10（含）</w:t>
            </w:r>
          </w:p>
        </w:tc>
        <w:tc>
          <w:tcPr>
            <w:tcW w:w="3198" w:type="dxa"/>
            <w:vAlign w:val="center"/>
          </w:tcPr>
          <w:p w14:paraId="4C402651">
            <w:pPr>
              <w:spacing w:line="600" w:lineRule="exact"/>
              <w:jc w:val="center"/>
              <w:rPr>
                <w:rFonts w:hint="eastAsia" w:ascii="仿宋" w:hAnsi="仿宋" w:eastAsia="仿宋" w:cs="仿宋"/>
                <w:sz w:val="32"/>
                <w:szCs w:val="32"/>
                <w:lang w:val="en-US" w:eastAsia="zh-CN"/>
              </w:rPr>
            </w:pPr>
            <w:r>
              <w:rPr>
                <w:rFonts w:hint="default" w:ascii="仿宋" w:hAnsi="仿宋" w:eastAsia="仿宋" w:cs="仿宋"/>
                <w:sz w:val="32"/>
                <w:szCs w:val="32"/>
                <w:lang w:val="en-US"/>
              </w:rPr>
              <w:t>1.0</w:t>
            </w:r>
          </w:p>
        </w:tc>
      </w:tr>
      <w:tr w14:paraId="22D9D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Align w:val="center"/>
          </w:tcPr>
          <w:p w14:paraId="7D948429">
            <w:pPr>
              <w:spacing w:line="600" w:lineRule="exact"/>
              <w:jc w:val="center"/>
              <w:rPr>
                <w:rFonts w:ascii="仿宋" w:hAnsi="仿宋" w:eastAsia="仿宋" w:cs="仿宋"/>
                <w:sz w:val="32"/>
                <w:szCs w:val="32"/>
              </w:rPr>
            </w:pPr>
            <w:r>
              <w:rPr>
                <w:rFonts w:hint="eastAsia" w:ascii="仿宋" w:hAnsi="仿宋" w:eastAsia="仿宋" w:cs="仿宋"/>
                <w:sz w:val="32"/>
                <w:szCs w:val="32"/>
              </w:rPr>
              <w:t>2</w:t>
            </w:r>
          </w:p>
        </w:tc>
        <w:tc>
          <w:tcPr>
            <w:tcW w:w="4230" w:type="dxa"/>
            <w:vAlign w:val="center"/>
          </w:tcPr>
          <w:p w14:paraId="3F01C6DA">
            <w:pPr>
              <w:spacing w:line="600" w:lineRule="exact"/>
              <w:jc w:val="center"/>
              <w:rPr>
                <w:rFonts w:ascii="仿宋" w:hAnsi="仿宋" w:eastAsia="仿宋" w:cs="仿宋"/>
                <w:sz w:val="32"/>
                <w:szCs w:val="32"/>
              </w:rPr>
            </w:pPr>
            <w:r>
              <w:rPr>
                <w:rFonts w:hint="eastAsia" w:ascii="仿宋" w:hAnsi="仿宋" w:eastAsia="仿宋" w:cs="仿宋"/>
                <w:sz w:val="32"/>
                <w:szCs w:val="32"/>
              </w:rPr>
              <w:t>10-20（含）</w:t>
            </w:r>
          </w:p>
        </w:tc>
        <w:tc>
          <w:tcPr>
            <w:tcW w:w="3198" w:type="dxa"/>
            <w:vAlign w:val="center"/>
          </w:tcPr>
          <w:p w14:paraId="3F665AC5">
            <w:pPr>
              <w:spacing w:line="600" w:lineRule="exact"/>
              <w:jc w:val="center"/>
              <w:rPr>
                <w:rFonts w:hint="default" w:ascii="仿宋" w:hAnsi="仿宋" w:eastAsia="仿宋" w:cs="仿宋"/>
                <w:sz w:val="32"/>
                <w:szCs w:val="32"/>
                <w:lang w:val="en-US"/>
              </w:rPr>
            </w:pPr>
            <w:r>
              <w:rPr>
                <w:rFonts w:hint="eastAsia" w:ascii="仿宋" w:hAnsi="仿宋" w:eastAsia="仿宋" w:cs="仿宋"/>
                <w:sz w:val="32"/>
                <w:szCs w:val="32"/>
                <w:lang w:val="en-US" w:eastAsia="zh-CN"/>
              </w:rPr>
              <w:t>0.5</w:t>
            </w:r>
          </w:p>
        </w:tc>
      </w:tr>
      <w:tr w14:paraId="2CFCE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Align w:val="center"/>
          </w:tcPr>
          <w:p w14:paraId="20C8ECF3">
            <w:pPr>
              <w:spacing w:line="600" w:lineRule="exact"/>
              <w:jc w:val="center"/>
              <w:rPr>
                <w:rFonts w:ascii="仿宋" w:hAnsi="仿宋" w:eastAsia="仿宋" w:cs="仿宋"/>
                <w:sz w:val="32"/>
                <w:szCs w:val="32"/>
              </w:rPr>
            </w:pPr>
            <w:r>
              <w:rPr>
                <w:rFonts w:hint="eastAsia" w:ascii="仿宋" w:hAnsi="仿宋" w:eastAsia="仿宋" w:cs="仿宋"/>
                <w:sz w:val="32"/>
                <w:szCs w:val="32"/>
              </w:rPr>
              <w:t>3</w:t>
            </w:r>
          </w:p>
        </w:tc>
        <w:tc>
          <w:tcPr>
            <w:tcW w:w="4230" w:type="dxa"/>
            <w:vAlign w:val="center"/>
          </w:tcPr>
          <w:p w14:paraId="07FB6930">
            <w:pPr>
              <w:spacing w:line="600" w:lineRule="exact"/>
              <w:jc w:val="center"/>
              <w:rPr>
                <w:rFonts w:ascii="仿宋" w:hAnsi="仿宋" w:eastAsia="仿宋" w:cs="仿宋"/>
                <w:sz w:val="32"/>
                <w:szCs w:val="32"/>
              </w:rPr>
            </w:pPr>
            <w:r>
              <w:rPr>
                <w:rFonts w:hint="eastAsia" w:ascii="仿宋" w:hAnsi="仿宋" w:eastAsia="仿宋" w:cs="仿宋"/>
                <w:sz w:val="32"/>
                <w:szCs w:val="32"/>
              </w:rPr>
              <w:t>20-30（含）</w:t>
            </w:r>
          </w:p>
        </w:tc>
        <w:tc>
          <w:tcPr>
            <w:tcW w:w="3198" w:type="dxa"/>
            <w:vAlign w:val="center"/>
          </w:tcPr>
          <w:p w14:paraId="3D77832B">
            <w:pPr>
              <w:spacing w:line="600" w:lineRule="exact"/>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0.3</w:t>
            </w:r>
          </w:p>
        </w:tc>
      </w:tr>
      <w:tr w14:paraId="21574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Align w:val="center"/>
          </w:tcPr>
          <w:p w14:paraId="26F81266">
            <w:pPr>
              <w:spacing w:line="600" w:lineRule="exact"/>
              <w:jc w:val="center"/>
              <w:rPr>
                <w:rFonts w:ascii="仿宋" w:hAnsi="仿宋" w:eastAsia="仿宋" w:cs="仿宋"/>
                <w:sz w:val="32"/>
                <w:szCs w:val="32"/>
              </w:rPr>
            </w:pPr>
            <w:r>
              <w:rPr>
                <w:rFonts w:hint="eastAsia" w:ascii="仿宋" w:hAnsi="仿宋" w:eastAsia="仿宋" w:cs="仿宋"/>
                <w:sz w:val="32"/>
                <w:szCs w:val="32"/>
              </w:rPr>
              <w:t>4</w:t>
            </w:r>
          </w:p>
        </w:tc>
        <w:tc>
          <w:tcPr>
            <w:tcW w:w="4230" w:type="dxa"/>
            <w:vAlign w:val="center"/>
          </w:tcPr>
          <w:p w14:paraId="1ACAB204">
            <w:pPr>
              <w:spacing w:line="600" w:lineRule="exact"/>
              <w:jc w:val="center"/>
              <w:rPr>
                <w:rFonts w:ascii="仿宋" w:hAnsi="仿宋" w:eastAsia="仿宋" w:cs="仿宋"/>
                <w:sz w:val="32"/>
                <w:szCs w:val="32"/>
              </w:rPr>
            </w:pPr>
            <w:r>
              <w:rPr>
                <w:rFonts w:hint="eastAsia" w:ascii="仿宋" w:hAnsi="仿宋" w:eastAsia="仿宋" w:cs="仿宋"/>
                <w:sz w:val="32"/>
                <w:szCs w:val="32"/>
              </w:rPr>
              <w:t>30以上</w:t>
            </w:r>
          </w:p>
        </w:tc>
        <w:tc>
          <w:tcPr>
            <w:tcW w:w="3198" w:type="dxa"/>
            <w:vAlign w:val="center"/>
          </w:tcPr>
          <w:p w14:paraId="135C6A89">
            <w:pPr>
              <w:spacing w:line="600" w:lineRule="exact"/>
              <w:jc w:val="center"/>
              <w:rPr>
                <w:rFonts w:hint="default" w:ascii="仿宋" w:hAnsi="仿宋" w:cs="仿宋" w:eastAsiaTheme="minorEastAsia"/>
                <w:sz w:val="32"/>
                <w:szCs w:val="32"/>
                <w:lang w:val="en-US" w:eastAsia="zh-CN"/>
              </w:rPr>
            </w:pPr>
            <w:r>
              <w:rPr>
                <w:rFonts w:hint="eastAsia" w:ascii="仿宋" w:hAnsi="仿宋" w:eastAsia="仿宋" w:cs="仿宋"/>
                <w:sz w:val="32"/>
                <w:szCs w:val="32"/>
                <w:lang w:val="en-US" w:eastAsia="zh-CN"/>
              </w:rPr>
              <w:t>0.1</w:t>
            </w:r>
          </w:p>
        </w:tc>
      </w:tr>
    </w:tbl>
    <w:p w14:paraId="02C30F84">
      <w:pPr>
        <w:pStyle w:val="8"/>
        <w:widowControl/>
        <w:shd w:val="clear" w:color="auto" w:fill="FFFFFF"/>
        <w:spacing w:before="0" w:beforeAutospacing="0" w:after="0" w:afterAutospacing="0" w:line="600" w:lineRule="exact"/>
        <w:ind w:firstLine="640" w:firstLineChars="200"/>
        <w:jc w:val="both"/>
        <w:rPr>
          <w:rFonts w:hint="eastAsia" w:ascii="仿宋" w:hAnsi="仿宋" w:eastAsia="仿宋" w:cs="仿宋"/>
          <w:kern w:val="2"/>
          <w:sz w:val="32"/>
          <w:szCs w:val="32"/>
        </w:rPr>
      </w:pPr>
      <w:r>
        <w:rPr>
          <w:rFonts w:hint="eastAsia" w:ascii="仿宋" w:hAnsi="仿宋" w:eastAsia="仿宋" w:cs="仿宋"/>
          <w:sz w:val="32"/>
          <w:szCs w:val="32"/>
        </w:rPr>
        <w:t>项目数量原则上以立项批文为准</w:t>
      </w:r>
      <w:r>
        <w:rPr>
          <w:rFonts w:hint="eastAsia" w:ascii="仿宋" w:hAnsi="仿宋" w:eastAsia="仿宋" w:cs="仿宋"/>
          <w:kern w:val="2"/>
          <w:sz w:val="32"/>
          <w:szCs w:val="32"/>
        </w:rPr>
        <w:t>，</w:t>
      </w:r>
      <w:r>
        <w:rPr>
          <w:rFonts w:hint="eastAsia" w:ascii="仿宋" w:hAnsi="仿宋" w:eastAsia="仿宋" w:cs="仿宋"/>
          <w:sz w:val="32"/>
          <w:szCs w:val="32"/>
        </w:rPr>
        <w:t>项目完成时间以中标通知书时间为准；</w:t>
      </w:r>
      <w:r>
        <w:rPr>
          <w:rFonts w:hint="eastAsia" w:ascii="仿宋" w:hAnsi="仿宋" w:eastAsia="仿宋" w:cs="仿宋"/>
          <w:kern w:val="2"/>
          <w:sz w:val="32"/>
          <w:szCs w:val="32"/>
        </w:rPr>
        <w:t>限额以上单独立项项目的勘察、设计、监理和施工标段可独立计分；限额以上单独立项项目合理划分为多个标段，并由不同代理机构代理的，均予以认可；限额以上单独立项项目同一类招标内容划分为多个标段并由同一家代理机构代理的，原则上不重复加分，</w:t>
      </w:r>
      <w:r>
        <w:rPr>
          <w:rFonts w:hint="eastAsia" w:ascii="仿宋" w:hAnsi="仿宋" w:eastAsia="仿宋" w:cs="仿宋"/>
          <w:sz w:val="32"/>
          <w:szCs w:val="32"/>
        </w:rPr>
        <w:t>情况特殊的，</w:t>
      </w:r>
      <w:r>
        <w:rPr>
          <w:rFonts w:hint="eastAsia" w:ascii="仿宋" w:hAnsi="仿宋" w:eastAsia="仿宋" w:cs="仿宋"/>
          <w:kern w:val="2"/>
          <w:sz w:val="32"/>
          <w:szCs w:val="32"/>
        </w:rPr>
        <w:t>须</w:t>
      </w:r>
      <w:r>
        <w:rPr>
          <w:rFonts w:hint="eastAsia" w:ascii="仿宋" w:hAnsi="仿宋" w:eastAsia="仿宋" w:cs="仿宋"/>
          <w:sz w:val="32"/>
          <w:szCs w:val="32"/>
        </w:rPr>
        <w:t>由评价对象提出书面申请，并由</w:t>
      </w:r>
      <w:r>
        <w:rPr>
          <w:rFonts w:hint="eastAsia" w:ascii="仿宋" w:hAnsi="仿宋" w:eastAsia="仿宋" w:cs="仿宋"/>
          <w:kern w:val="2"/>
          <w:sz w:val="32"/>
          <w:szCs w:val="32"/>
        </w:rPr>
        <w:t>招标人出具标段划分合理性说明，经</w:t>
      </w:r>
      <w:r>
        <w:rPr>
          <w:rFonts w:hint="eastAsia" w:ascii="仿宋" w:hAnsi="仿宋" w:eastAsia="仿宋" w:cs="仿宋"/>
          <w:sz w:val="32"/>
          <w:szCs w:val="32"/>
        </w:rPr>
        <w:t>市招标投标协会组织评价专家集体研究认定后，可以</w:t>
      </w:r>
      <w:r>
        <w:rPr>
          <w:rFonts w:hint="eastAsia" w:ascii="仿宋" w:hAnsi="仿宋" w:eastAsia="仿宋" w:cs="仿宋"/>
          <w:kern w:val="2"/>
          <w:sz w:val="32"/>
          <w:szCs w:val="32"/>
        </w:rPr>
        <w:t>按照下表的权重进行计分。</w:t>
      </w:r>
    </w:p>
    <w:p w14:paraId="058318D5">
      <w:pPr>
        <w:pStyle w:val="8"/>
        <w:widowControl/>
        <w:shd w:val="clear" w:color="auto" w:fill="FFFFFF"/>
        <w:spacing w:before="0" w:beforeAutospacing="0" w:after="0" w:afterAutospacing="0" w:line="600" w:lineRule="exact"/>
        <w:jc w:val="both"/>
        <w:rPr>
          <w:rFonts w:hint="eastAsia" w:ascii="仿宋" w:hAnsi="仿宋" w:eastAsia="仿宋" w:cs="仿宋"/>
          <w:kern w:val="2"/>
          <w:sz w:val="32"/>
          <w:szCs w:val="32"/>
        </w:rPr>
      </w:pPr>
    </w:p>
    <w:tbl>
      <w:tblPr>
        <w:tblStyle w:val="10"/>
        <w:tblW w:w="0" w:type="auto"/>
        <w:tblInd w:w="1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0"/>
        <w:gridCol w:w="2984"/>
        <w:gridCol w:w="2521"/>
      </w:tblGrid>
      <w:tr w14:paraId="2065C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vAlign w:val="center"/>
          </w:tcPr>
          <w:p w14:paraId="05C79F0D">
            <w:pPr>
              <w:pStyle w:val="8"/>
              <w:widowControl/>
              <w:spacing w:before="0" w:beforeAutospacing="0" w:after="0" w:afterAutospacing="0" w:line="600" w:lineRule="exact"/>
              <w:jc w:val="center"/>
              <w:rPr>
                <w:rFonts w:ascii="仿宋" w:hAnsi="仿宋" w:eastAsia="仿宋" w:cs="仿宋"/>
                <w:sz w:val="32"/>
                <w:szCs w:val="32"/>
              </w:rPr>
            </w:pPr>
            <w:r>
              <w:rPr>
                <w:rFonts w:hint="eastAsia" w:ascii="仿宋" w:hAnsi="仿宋" w:eastAsia="仿宋" w:cs="仿宋"/>
                <w:sz w:val="32"/>
                <w:szCs w:val="32"/>
              </w:rPr>
              <w:t>序号</w:t>
            </w:r>
          </w:p>
        </w:tc>
        <w:tc>
          <w:tcPr>
            <w:tcW w:w="2984" w:type="dxa"/>
            <w:vAlign w:val="center"/>
          </w:tcPr>
          <w:p w14:paraId="6024EF4D">
            <w:pPr>
              <w:pStyle w:val="8"/>
              <w:widowControl/>
              <w:spacing w:before="0" w:beforeAutospacing="0" w:after="0" w:afterAutospacing="0" w:line="600" w:lineRule="exact"/>
              <w:jc w:val="center"/>
              <w:rPr>
                <w:rFonts w:ascii="仿宋" w:hAnsi="仿宋" w:eastAsia="仿宋" w:cs="仿宋"/>
                <w:sz w:val="32"/>
                <w:szCs w:val="32"/>
              </w:rPr>
            </w:pPr>
            <w:r>
              <w:rPr>
                <w:rFonts w:hint="eastAsia" w:ascii="仿宋" w:hAnsi="仿宋" w:eastAsia="仿宋" w:cs="仿宋"/>
                <w:sz w:val="32"/>
                <w:szCs w:val="32"/>
              </w:rPr>
              <w:t>标段</w:t>
            </w:r>
          </w:p>
        </w:tc>
        <w:tc>
          <w:tcPr>
            <w:tcW w:w="2521" w:type="dxa"/>
            <w:vAlign w:val="center"/>
          </w:tcPr>
          <w:p w14:paraId="78961E0A">
            <w:pPr>
              <w:pStyle w:val="8"/>
              <w:widowControl/>
              <w:spacing w:before="0" w:beforeAutospacing="0" w:after="0" w:afterAutospacing="0" w:line="600" w:lineRule="exact"/>
              <w:jc w:val="center"/>
              <w:rPr>
                <w:rFonts w:ascii="仿宋" w:hAnsi="仿宋" w:eastAsia="仿宋" w:cs="仿宋"/>
                <w:sz w:val="32"/>
                <w:szCs w:val="32"/>
              </w:rPr>
            </w:pPr>
            <w:r>
              <w:rPr>
                <w:rFonts w:hint="eastAsia" w:ascii="仿宋" w:hAnsi="仿宋" w:eastAsia="仿宋" w:cs="仿宋"/>
                <w:sz w:val="32"/>
                <w:szCs w:val="32"/>
              </w:rPr>
              <w:t>权重</w:t>
            </w:r>
          </w:p>
        </w:tc>
      </w:tr>
      <w:tr w14:paraId="1FC9C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vAlign w:val="center"/>
          </w:tcPr>
          <w:p w14:paraId="7CAC5C48">
            <w:pPr>
              <w:pStyle w:val="8"/>
              <w:widowControl/>
              <w:spacing w:before="0" w:beforeAutospacing="0" w:after="0" w:afterAutospacing="0" w:line="600" w:lineRule="exact"/>
              <w:jc w:val="center"/>
              <w:rPr>
                <w:rFonts w:ascii="仿宋" w:hAnsi="仿宋" w:eastAsia="仿宋" w:cs="仿宋"/>
                <w:sz w:val="32"/>
                <w:szCs w:val="32"/>
              </w:rPr>
            </w:pPr>
            <w:r>
              <w:rPr>
                <w:rFonts w:hint="eastAsia" w:ascii="仿宋" w:hAnsi="仿宋" w:eastAsia="仿宋" w:cs="仿宋"/>
                <w:sz w:val="32"/>
                <w:szCs w:val="32"/>
              </w:rPr>
              <w:t>1</w:t>
            </w:r>
          </w:p>
        </w:tc>
        <w:tc>
          <w:tcPr>
            <w:tcW w:w="2984" w:type="dxa"/>
            <w:vAlign w:val="center"/>
          </w:tcPr>
          <w:p w14:paraId="765D9787">
            <w:pPr>
              <w:pStyle w:val="8"/>
              <w:widowControl/>
              <w:spacing w:before="0" w:beforeAutospacing="0" w:after="0" w:afterAutospacing="0" w:line="600" w:lineRule="exact"/>
              <w:jc w:val="center"/>
              <w:rPr>
                <w:rFonts w:ascii="仿宋" w:hAnsi="仿宋" w:eastAsia="仿宋" w:cs="仿宋"/>
                <w:sz w:val="32"/>
                <w:szCs w:val="32"/>
              </w:rPr>
            </w:pPr>
            <w:r>
              <w:rPr>
                <w:rFonts w:hint="eastAsia" w:ascii="仿宋" w:hAnsi="仿宋" w:eastAsia="仿宋" w:cs="仿宋"/>
                <w:sz w:val="32"/>
                <w:szCs w:val="32"/>
              </w:rPr>
              <w:t>第1个</w:t>
            </w:r>
          </w:p>
        </w:tc>
        <w:tc>
          <w:tcPr>
            <w:tcW w:w="2521" w:type="dxa"/>
            <w:vAlign w:val="center"/>
          </w:tcPr>
          <w:p w14:paraId="3E528F6C">
            <w:pPr>
              <w:pStyle w:val="8"/>
              <w:widowControl/>
              <w:spacing w:before="0" w:beforeAutospacing="0" w:after="0" w:afterAutospacing="0" w:line="600" w:lineRule="exact"/>
              <w:jc w:val="center"/>
              <w:rPr>
                <w:rFonts w:ascii="仿宋" w:hAnsi="仿宋" w:eastAsia="仿宋" w:cs="仿宋"/>
                <w:sz w:val="32"/>
                <w:szCs w:val="32"/>
              </w:rPr>
            </w:pPr>
            <w:r>
              <w:rPr>
                <w:rFonts w:hint="eastAsia" w:ascii="仿宋" w:hAnsi="仿宋" w:eastAsia="仿宋" w:cs="仿宋"/>
                <w:sz w:val="32"/>
                <w:szCs w:val="32"/>
              </w:rPr>
              <w:t>1.0</w:t>
            </w:r>
          </w:p>
        </w:tc>
      </w:tr>
      <w:tr w14:paraId="7308C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vAlign w:val="center"/>
          </w:tcPr>
          <w:p w14:paraId="64877F40">
            <w:pPr>
              <w:pStyle w:val="8"/>
              <w:widowControl/>
              <w:spacing w:before="0" w:beforeAutospacing="0" w:after="0" w:afterAutospacing="0" w:line="600" w:lineRule="exact"/>
              <w:jc w:val="center"/>
              <w:rPr>
                <w:rFonts w:ascii="仿宋" w:hAnsi="仿宋" w:eastAsia="仿宋" w:cs="仿宋"/>
                <w:sz w:val="32"/>
                <w:szCs w:val="32"/>
              </w:rPr>
            </w:pPr>
            <w:r>
              <w:rPr>
                <w:rFonts w:hint="eastAsia" w:ascii="仿宋" w:hAnsi="仿宋" w:eastAsia="仿宋" w:cs="仿宋"/>
                <w:sz w:val="32"/>
                <w:szCs w:val="32"/>
              </w:rPr>
              <w:t>2</w:t>
            </w:r>
          </w:p>
        </w:tc>
        <w:tc>
          <w:tcPr>
            <w:tcW w:w="2984" w:type="dxa"/>
            <w:vAlign w:val="center"/>
          </w:tcPr>
          <w:p w14:paraId="0C603737">
            <w:pPr>
              <w:pStyle w:val="8"/>
              <w:widowControl/>
              <w:spacing w:before="0" w:beforeAutospacing="0" w:after="0" w:afterAutospacing="0" w:line="600" w:lineRule="exact"/>
              <w:jc w:val="center"/>
              <w:rPr>
                <w:rFonts w:ascii="仿宋" w:hAnsi="仿宋" w:eastAsia="仿宋" w:cs="仿宋"/>
                <w:sz w:val="32"/>
                <w:szCs w:val="32"/>
              </w:rPr>
            </w:pPr>
            <w:r>
              <w:rPr>
                <w:rFonts w:hint="eastAsia" w:ascii="仿宋" w:hAnsi="仿宋" w:eastAsia="仿宋" w:cs="仿宋"/>
                <w:sz w:val="32"/>
                <w:szCs w:val="32"/>
              </w:rPr>
              <w:t>第2个</w:t>
            </w:r>
          </w:p>
        </w:tc>
        <w:tc>
          <w:tcPr>
            <w:tcW w:w="2521" w:type="dxa"/>
            <w:vAlign w:val="center"/>
          </w:tcPr>
          <w:p w14:paraId="793EF40B">
            <w:pPr>
              <w:pStyle w:val="8"/>
              <w:widowControl/>
              <w:spacing w:before="0" w:beforeAutospacing="0" w:after="0" w:afterAutospacing="0" w:line="600" w:lineRule="exact"/>
              <w:jc w:val="center"/>
              <w:rPr>
                <w:rFonts w:ascii="仿宋" w:hAnsi="仿宋" w:eastAsia="仿宋" w:cs="仿宋"/>
                <w:sz w:val="32"/>
                <w:szCs w:val="32"/>
              </w:rPr>
            </w:pPr>
            <w:r>
              <w:rPr>
                <w:rFonts w:hint="eastAsia" w:ascii="仿宋" w:hAnsi="仿宋" w:eastAsia="仿宋" w:cs="仿宋"/>
                <w:sz w:val="32"/>
                <w:szCs w:val="32"/>
              </w:rPr>
              <w:t>0.5</w:t>
            </w:r>
          </w:p>
        </w:tc>
      </w:tr>
      <w:tr w14:paraId="5D0C3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vAlign w:val="center"/>
          </w:tcPr>
          <w:p w14:paraId="72BEB0DF">
            <w:pPr>
              <w:pStyle w:val="8"/>
              <w:widowControl/>
              <w:spacing w:before="0" w:beforeAutospacing="0" w:after="0" w:afterAutospacing="0" w:line="600" w:lineRule="exact"/>
              <w:jc w:val="center"/>
              <w:rPr>
                <w:rFonts w:ascii="仿宋" w:hAnsi="仿宋" w:eastAsia="仿宋" w:cs="仿宋"/>
                <w:sz w:val="32"/>
                <w:szCs w:val="32"/>
              </w:rPr>
            </w:pPr>
            <w:r>
              <w:rPr>
                <w:rFonts w:hint="eastAsia" w:ascii="仿宋" w:hAnsi="仿宋" w:eastAsia="仿宋" w:cs="仿宋"/>
                <w:sz w:val="32"/>
                <w:szCs w:val="32"/>
              </w:rPr>
              <w:t>3</w:t>
            </w:r>
          </w:p>
        </w:tc>
        <w:tc>
          <w:tcPr>
            <w:tcW w:w="2984" w:type="dxa"/>
            <w:vAlign w:val="center"/>
          </w:tcPr>
          <w:p w14:paraId="4E3DF4F0">
            <w:pPr>
              <w:pStyle w:val="8"/>
              <w:widowControl/>
              <w:spacing w:before="0" w:beforeAutospacing="0" w:after="0" w:afterAutospacing="0" w:line="600" w:lineRule="exact"/>
              <w:jc w:val="center"/>
              <w:rPr>
                <w:rFonts w:ascii="仿宋" w:hAnsi="仿宋" w:eastAsia="仿宋" w:cs="仿宋"/>
                <w:sz w:val="32"/>
                <w:szCs w:val="32"/>
              </w:rPr>
            </w:pPr>
            <w:r>
              <w:rPr>
                <w:rFonts w:hint="eastAsia" w:ascii="仿宋" w:hAnsi="仿宋" w:eastAsia="仿宋" w:cs="仿宋"/>
                <w:sz w:val="32"/>
                <w:szCs w:val="32"/>
              </w:rPr>
              <w:t>第3个及更多</w:t>
            </w:r>
          </w:p>
        </w:tc>
        <w:tc>
          <w:tcPr>
            <w:tcW w:w="2521" w:type="dxa"/>
            <w:vAlign w:val="center"/>
          </w:tcPr>
          <w:p w14:paraId="44C64684">
            <w:pPr>
              <w:pStyle w:val="8"/>
              <w:widowControl/>
              <w:spacing w:before="0" w:beforeAutospacing="0" w:after="0" w:afterAutospacing="0" w:line="600" w:lineRule="exact"/>
              <w:jc w:val="center"/>
              <w:rPr>
                <w:rFonts w:ascii="仿宋" w:hAnsi="仿宋" w:eastAsia="仿宋" w:cs="仿宋"/>
                <w:sz w:val="32"/>
                <w:szCs w:val="32"/>
              </w:rPr>
            </w:pPr>
            <w:r>
              <w:rPr>
                <w:rFonts w:hint="eastAsia" w:ascii="仿宋" w:hAnsi="仿宋" w:eastAsia="仿宋" w:cs="仿宋"/>
                <w:sz w:val="32"/>
                <w:szCs w:val="32"/>
                <w:lang w:val="en-US" w:eastAsia="zh-CN"/>
              </w:rPr>
              <w:t>0.1</w:t>
            </w:r>
            <w:r>
              <w:rPr>
                <w:rFonts w:hint="eastAsia" w:ascii="仿宋" w:hAnsi="仿宋" w:eastAsia="仿宋" w:cs="仿宋"/>
                <w:sz w:val="32"/>
                <w:szCs w:val="32"/>
              </w:rPr>
              <w:t xml:space="preserve">   </w:t>
            </w:r>
          </w:p>
        </w:tc>
      </w:tr>
    </w:tbl>
    <w:p w14:paraId="451C8782">
      <w:pPr>
        <w:pStyle w:val="8"/>
        <w:shd w:val="clear" w:color="auto" w:fill="FFFFFF"/>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第六条</w:t>
      </w:r>
      <w:r>
        <w:rPr>
          <w:rFonts w:hint="eastAsia"/>
          <w:lang w:val="en-US" w:eastAsia="zh-CN"/>
        </w:rPr>
        <w:t xml:space="preserve"> </w:t>
      </w:r>
      <w:r>
        <w:rPr>
          <w:rFonts w:hint="eastAsia" w:ascii="仿宋" w:hAnsi="仿宋" w:eastAsia="仿宋" w:cs="仿宋"/>
          <w:sz w:val="32"/>
          <w:szCs w:val="32"/>
          <w:lang w:val="en-US" w:eastAsia="zh-CN"/>
        </w:rPr>
        <w:t>对于未达到依法必须招标规模标准的建设工程，进入7.0系统公开招标或</w:t>
      </w:r>
      <w:r>
        <w:rPr>
          <w:rFonts w:hint="eastAsia" w:ascii="仿宋" w:hAnsi="仿宋" w:eastAsia="仿宋" w:cs="仿宋"/>
          <w:sz w:val="32"/>
          <w:szCs w:val="32"/>
          <w:lang w:eastAsia="zh-CN"/>
        </w:rPr>
        <w:t>通过我</w:t>
      </w:r>
      <w:r>
        <w:rPr>
          <w:rFonts w:hint="eastAsia" w:ascii="仿宋" w:hAnsi="仿宋" w:eastAsia="仿宋" w:cs="仿宋"/>
          <w:sz w:val="32"/>
          <w:szCs w:val="32"/>
        </w:rPr>
        <w:t>市招投标协会</w:t>
      </w:r>
      <w:r>
        <w:rPr>
          <w:rFonts w:hint="eastAsia" w:ascii="仿宋" w:hAnsi="仿宋" w:eastAsia="仿宋" w:cs="仿宋"/>
          <w:sz w:val="32"/>
          <w:szCs w:val="32"/>
          <w:lang w:eastAsia="zh-CN"/>
        </w:rPr>
        <w:t>搭建</w:t>
      </w:r>
      <w:r>
        <w:rPr>
          <w:rFonts w:hint="eastAsia" w:ascii="仿宋" w:hAnsi="仿宋" w:eastAsia="仿宋" w:cs="仿宋"/>
          <w:sz w:val="32"/>
          <w:szCs w:val="32"/>
        </w:rPr>
        <w:t>的</w:t>
      </w:r>
      <w:r>
        <w:rPr>
          <w:rFonts w:hint="eastAsia" w:ascii="仿宋" w:hAnsi="仿宋" w:eastAsia="仿宋" w:cs="仿宋"/>
          <w:sz w:val="32"/>
          <w:szCs w:val="32"/>
          <w:lang w:eastAsia="zh-CN"/>
        </w:rPr>
        <w:t>限额以下</w:t>
      </w:r>
      <w:r>
        <w:rPr>
          <w:rFonts w:hint="eastAsia" w:ascii="仿宋" w:hAnsi="仿宋" w:eastAsia="仿宋" w:cs="仿宋"/>
          <w:sz w:val="32"/>
          <w:szCs w:val="32"/>
        </w:rPr>
        <w:t>交易平台规范</w:t>
      </w:r>
      <w:r>
        <w:rPr>
          <w:rFonts w:hint="eastAsia" w:ascii="仿宋" w:hAnsi="仿宋" w:eastAsia="仿宋" w:cs="仿宋"/>
          <w:sz w:val="32"/>
          <w:szCs w:val="32"/>
          <w:lang w:eastAsia="zh-CN"/>
        </w:rPr>
        <w:t>招标</w:t>
      </w:r>
      <w:r>
        <w:rPr>
          <w:rFonts w:hint="eastAsia" w:ascii="仿宋" w:hAnsi="仿宋" w:eastAsia="仿宋" w:cs="仿宋"/>
          <w:sz w:val="32"/>
          <w:szCs w:val="32"/>
        </w:rPr>
        <w:t>的，每个</w:t>
      </w:r>
      <w:r>
        <w:rPr>
          <w:rFonts w:hint="eastAsia" w:ascii="仿宋" w:hAnsi="仿宋" w:eastAsia="仿宋" w:cs="仿宋"/>
          <w:sz w:val="32"/>
          <w:szCs w:val="32"/>
          <w:lang w:eastAsia="zh-CN"/>
        </w:rPr>
        <w:t>项目</w:t>
      </w:r>
      <w:r>
        <w:rPr>
          <w:rFonts w:hint="eastAsia" w:ascii="仿宋" w:hAnsi="仿宋" w:eastAsia="仿宋" w:cs="仿宋"/>
          <w:sz w:val="32"/>
          <w:szCs w:val="32"/>
        </w:rPr>
        <w:t>加0.</w:t>
      </w:r>
      <w:r>
        <w:rPr>
          <w:rFonts w:hint="eastAsia" w:ascii="仿宋" w:hAnsi="仿宋" w:eastAsia="仿宋" w:cs="仿宋"/>
          <w:sz w:val="32"/>
          <w:szCs w:val="32"/>
          <w:lang w:val="en-US" w:eastAsia="zh-CN"/>
        </w:rPr>
        <w:t>3</w:t>
      </w:r>
      <w:r>
        <w:rPr>
          <w:rFonts w:hint="eastAsia" w:ascii="仿宋" w:hAnsi="仿宋" w:eastAsia="仿宋" w:cs="仿宋"/>
          <w:sz w:val="32"/>
          <w:szCs w:val="32"/>
        </w:rPr>
        <w:t>分，此项最高加</w:t>
      </w:r>
      <w:r>
        <w:rPr>
          <w:rFonts w:hint="eastAsia" w:ascii="仿宋" w:hAnsi="仿宋" w:eastAsia="仿宋" w:cs="仿宋"/>
          <w:sz w:val="32"/>
          <w:szCs w:val="32"/>
          <w:lang w:val="en-US" w:eastAsia="zh-CN"/>
        </w:rPr>
        <w:t>3</w:t>
      </w:r>
      <w:r>
        <w:rPr>
          <w:rFonts w:hint="eastAsia" w:ascii="仿宋" w:hAnsi="仿宋" w:eastAsia="仿宋" w:cs="仿宋"/>
          <w:sz w:val="32"/>
          <w:szCs w:val="32"/>
        </w:rPr>
        <w:t>分。</w:t>
      </w:r>
      <w:r>
        <w:rPr>
          <w:rFonts w:hint="eastAsia" w:ascii="仿宋" w:hAnsi="仿宋" w:eastAsia="仿宋" w:cs="仿宋"/>
          <w:sz w:val="32"/>
          <w:szCs w:val="32"/>
          <w:lang w:val="en-US" w:eastAsia="zh-CN"/>
        </w:rPr>
        <w:t xml:space="preserve"> </w:t>
      </w:r>
    </w:p>
    <w:p w14:paraId="70651840">
      <w:pPr>
        <w:pStyle w:val="8"/>
        <w:shd w:val="clear" w:color="auto" w:fill="FFFFFF"/>
        <w:ind w:firstLine="640" w:firstLineChars="200"/>
        <w:rPr>
          <w:rFonts w:ascii="仿宋" w:hAnsi="仿宋" w:eastAsia="仿宋" w:cs="仿宋"/>
          <w:sz w:val="32"/>
          <w:szCs w:val="32"/>
        </w:rPr>
      </w:pPr>
      <w:r>
        <w:rPr>
          <w:rFonts w:hint="eastAsia" w:ascii="仿宋" w:hAnsi="仿宋" w:eastAsia="仿宋" w:cs="仿宋"/>
          <w:sz w:val="32"/>
          <w:szCs w:val="32"/>
        </w:rPr>
        <w:t>根据评价对象完成代理项目情况和上述加分标准计算得出项目加分值。代理项目加分值与加分权重相乘进行阶梯计分后得出业务评价加分。业务评价加分值直接计入综合评价总分。加分项目必须由评价对象完成，以实际在岗履职的代理项目负责人和一级注册造价工程师为据，否则不予认可。</w:t>
      </w:r>
    </w:p>
    <w:p w14:paraId="026C8752">
      <w:pPr>
        <w:pStyle w:val="8"/>
        <w:shd w:val="clear" w:color="auto" w:fill="FFFFFF"/>
        <w:ind w:firstLine="640" w:firstLineChars="200"/>
        <w:jc w:val="both"/>
        <w:rPr>
          <w:rFonts w:ascii="仿宋" w:hAnsi="仿宋" w:eastAsia="仿宋" w:cs="仿宋"/>
          <w:sz w:val="32"/>
          <w:szCs w:val="32"/>
        </w:rPr>
      </w:pPr>
    </w:p>
    <w:p w14:paraId="542E437A">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第七条 评价对象的工作人员</w:t>
      </w:r>
      <w:r>
        <w:rPr>
          <w:rFonts w:hint="eastAsia" w:ascii="仿宋" w:hAnsi="仿宋" w:eastAsia="仿宋" w:cs="仿宋"/>
          <w:color w:val="auto"/>
          <w:sz w:val="32"/>
          <w:szCs w:val="32"/>
        </w:rPr>
        <w:t>参加</w:t>
      </w:r>
      <w:r>
        <w:rPr>
          <w:rFonts w:hint="eastAsia" w:ascii="仿宋" w:hAnsi="仿宋" w:eastAsia="仿宋" w:cs="仿宋"/>
          <w:color w:val="auto"/>
          <w:sz w:val="32"/>
          <w:szCs w:val="32"/>
          <w:lang w:val="en-US" w:eastAsia="zh-CN"/>
        </w:rPr>
        <w:t>我</w:t>
      </w:r>
      <w:r>
        <w:rPr>
          <w:rFonts w:hint="eastAsia" w:ascii="仿宋" w:hAnsi="仿宋" w:eastAsia="仿宋" w:cs="仿宋"/>
          <w:color w:val="auto"/>
          <w:sz w:val="32"/>
          <w:szCs w:val="32"/>
        </w:rPr>
        <w:t>市建设工程招投标监管部门或我市招标投标协会组织的业务培训的，</w:t>
      </w:r>
      <w:r>
        <w:rPr>
          <w:rFonts w:hint="eastAsia" w:ascii="仿宋" w:hAnsi="仿宋" w:eastAsia="仿宋" w:cs="仿宋"/>
          <w:sz w:val="32"/>
          <w:szCs w:val="32"/>
        </w:rPr>
        <w:t>线下每人次加0.3分，线上每人次加0.1分，</w:t>
      </w:r>
      <w:r>
        <w:rPr>
          <w:rFonts w:hint="eastAsia" w:ascii="仿宋" w:hAnsi="仿宋" w:eastAsia="仿宋" w:cs="仿宋"/>
          <w:sz w:val="32"/>
          <w:szCs w:val="32"/>
          <w:lang w:eastAsia="zh-CN"/>
        </w:rPr>
        <w:t>本项</w:t>
      </w:r>
      <w:r>
        <w:rPr>
          <w:rFonts w:hint="eastAsia" w:ascii="仿宋" w:hAnsi="仿宋" w:eastAsia="仿宋" w:cs="仿宋"/>
          <w:sz w:val="32"/>
          <w:szCs w:val="32"/>
        </w:rPr>
        <w:t>最高加</w:t>
      </w:r>
      <w:r>
        <w:rPr>
          <w:rFonts w:hint="eastAsia" w:ascii="仿宋" w:hAnsi="仿宋" w:eastAsia="仿宋" w:cs="仿宋"/>
          <w:sz w:val="32"/>
          <w:szCs w:val="32"/>
          <w:lang w:val="en-US" w:eastAsia="zh-CN"/>
        </w:rPr>
        <w:t>2</w:t>
      </w:r>
      <w:r>
        <w:rPr>
          <w:rFonts w:hint="eastAsia" w:ascii="仿宋" w:hAnsi="仿宋" w:eastAsia="仿宋" w:cs="仿宋"/>
          <w:sz w:val="32"/>
          <w:szCs w:val="32"/>
        </w:rPr>
        <w:t>分。</w:t>
      </w:r>
    </w:p>
    <w:p w14:paraId="1B0D96B9">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第八条 评价对象人员参加省建设工程招投标业务考试，成绩达到85分的每人加0.3分，达到95分的每人加0.5分；单位平均成绩达95分的额外加1分，本项最高加</w:t>
      </w:r>
      <w:r>
        <w:rPr>
          <w:rFonts w:hint="eastAsia" w:ascii="仿宋" w:hAnsi="仿宋" w:eastAsia="仿宋" w:cs="仿宋"/>
          <w:sz w:val="32"/>
          <w:szCs w:val="32"/>
          <w:lang w:val="en-US" w:eastAsia="zh-CN"/>
        </w:rPr>
        <w:t>2</w:t>
      </w:r>
      <w:r>
        <w:rPr>
          <w:rFonts w:hint="eastAsia" w:ascii="仿宋" w:hAnsi="仿宋" w:eastAsia="仿宋" w:cs="仿宋"/>
          <w:sz w:val="32"/>
          <w:szCs w:val="32"/>
        </w:rPr>
        <w:t xml:space="preserve">分。 </w:t>
      </w:r>
    </w:p>
    <w:p w14:paraId="7F31AEBA">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所有人员中为在连社保缴纳者按以上相应分值的100%计数，本项最高加4分；为非在连缴纳者及退休人员按以上相应分值的50%计数且最高累计加1分。即本项得分=(连社保缴纳者100%计数 +非在连缴纳者及退休人员按以上相应分值的50%计数（≤1分）)≤4分</w:t>
      </w:r>
    </w:p>
    <w:p w14:paraId="3568029A">
      <w:pPr>
        <w:spacing w:line="600" w:lineRule="exact"/>
        <w:ind w:firstLine="640" w:firstLineChars="200"/>
        <w:rPr>
          <w:rFonts w:ascii="仿宋" w:hAnsi="仿宋" w:eastAsia="仿宋" w:cs="仿宋"/>
          <w:sz w:val="32"/>
          <w:szCs w:val="32"/>
        </w:rPr>
      </w:pPr>
    </w:p>
    <w:p w14:paraId="1269AB7B">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第九条 评价对象被推荐为省级主管部门招投标相关执法检查辅助人员每人次加1分；评价对象担任我省、我市</w:t>
      </w:r>
      <w:r>
        <w:rPr>
          <w:rFonts w:hint="eastAsia" w:ascii="仿宋" w:hAnsi="仿宋" w:eastAsia="仿宋" w:cs="仿宋"/>
          <w:sz w:val="32"/>
          <w:szCs w:val="32"/>
          <w:lang w:val="en-US" w:eastAsia="zh-CN"/>
        </w:rPr>
        <w:t>招标投标</w:t>
      </w:r>
      <w:r>
        <w:rPr>
          <w:rFonts w:hint="eastAsia" w:ascii="仿宋" w:hAnsi="仿宋" w:eastAsia="仿宋" w:cs="仿宋"/>
          <w:sz w:val="32"/>
          <w:szCs w:val="32"/>
        </w:rPr>
        <w:t>行业协会或</w:t>
      </w:r>
      <w:r>
        <w:rPr>
          <w:rFonts w:hint="eastAsia" w:ascii="仿宋" w:hAnsi="仿宋" w:eastAsia="仿宋" w:cs="仿宋"/>
          <w:sz w:val="32"/>
          <w:szCs w:val="32"/>
          <w:lang w:eastAsia="zh-CN"/>
        </w:rPr>
        <w:t>我市</w:t>
      </w:r>
      <w:r>
        <w:rPr>
          <w:rFonts w:hint="eastAsia" w:ascii="仿宋" w:hAnsi="仿宋" w:eastAsia="仿宋" w:cs="仿宋"/>
          <w:sz w:val="32"/>
          <w:szCs w:val="32"/>
          <w:lang w:val="en-US" w:eastAsia="zh-CN"/>
        </w:rPr>
        <w:t>招标投标</w:t>
      </w:r>
      <w:r>
        <w:rPr>
          <w:rFonts w:hint="eastAsia" w:ascii="仿宋" w:hAnsi="仿宋" w:eastAsia="仿宋" w:cs="仿宋"/>
          <w:sz w:val="32"/>
          <w:szCs w:val="32"/>
        </w:rPr>
        <w:t>监管部门组织的业务培训主讲</w:t>
      </w:r>
      <w:r>
        <w:rPr>
          <w:rFonts w:hint="eastAsia" w:ascii="仿宋" w:hAnsi="仿宋" w:eastAsia="仿宋" w:cs="仿宋"/>
          <w:sz w:val="32"/>
          <w:szCs w:val="32"/>
          <w:lang w:eastAsia="zh-CN"/>
        </w:rPr>
        <w:t>或</w:t>
      </w:r>
      <w:r>
        <w:rPr>
          <w:rFonts w:hint="eastAsia" w:ascii="仿宋" w:hAnsi="仿宋" w:eastAsia="仿宋" w:cs="仿宋"/>
          <w:sz w:val="32"/>
          <w:szCs w:val="32"/>
        </w:rPr>
        <w:t>参与我省、我市</w:t>
      </w:r>
      <w:r>
        <w:rPr>
          <w:rFonts w:hint="eastAsia" w:ascii="仿宋" w:hAnsi="仿宋" w:eastAsia="仿宋" w:cs="仿宋"/>
          <w:sz w:val="32"/>
          <w:szCs w:val="32"/>
          <w:lang w:val="en-US" w:eastAsia="zh-CN"/>
        </w:rPr>
        <w:t>招标投标</w:t>
      </w:r>
      <w:r>
        <w:rPr>
          <w:rFonts w:hint="eastAsia" w:ascii="仿宋" w:hAnsi="仿宋" w:eastAsia="仿宋" w:cs="仿宋"/>
          <w:sz w:val="32"/>
          <w:szCs w:val="32"/>
        </w:rPr>
        <w:t>行业主管部门组织的监督检查（包括但不限于双随机一公开、合规指导、专项整治等）活动的，市级每人次加1分，省级及以上每人次加1.5分</w:t>
      </w:r>
      <w:r>
        <w:rPr>
          <w:rFonts w:hint="eastAsia" w:ascii="仿宋" w:hAnsi="仿宋" w:eastAsia="仿宋" w:cs="仿宋"/>
          <w:sz w:val="32"/>
          <w:szCs w:val="32"/>
          <w:lang w:eastAsia="zh-CN"/>
        </w:rPr>
        <w:t>。本项</w:t>
      </w:r>
      <w:r>
        <w:rPr>
          <w:rFonts w:hint="eastAsia" w:ascii="仿宋" w:hAnsi="仿宋" w:eastAsia="仿宋" w:cs="仿宋"/>
          <w:sz w:val="32"/>
          <w:szCs w:val="32"/>
        </w:rPr>
        <w:t>最高加</w:t>
      </w:r>
      <w:r>
        <w:rPr>
          <w:rFonts w:hint="eastAsia" w:ascii="仿宋" w:hAnsi="仿宋" w:eastAsia="仿宋" w:cs="仿宋"/>
          <w:sz w:val="32"/>
          <w:szCs w:val="32"/>
          <w:lang w:val="en-US" w:eastAsia="zh-CN"/>
        </w:rPr>
        <w:t>2</w:t>
      </w:r>
      <w:r>
        <w:rPr>
          <w:rFonts w:hint="eastAsia" w:ascii="仿宋" w:hAnsi="仿宋" w:eastAsia="仿宋" w:cs="仿宋"/>
          <w:sz w:val="32"/>
          <w:szCs w:val="32"/>
        </w:rPr>
        <w:t>分。</w:t>
      </w:r>
    </w:p>
    <w:p w14:paraId="56E83CEE">
      <w:pPr>
        <w:spacing w:line="600" w:lineRule="exact"/>
        <w:jc w:val="center"/>
        <w:rPr>
          <w:rFonts w:ascii="仿宋" w:hAnsi="仿宋" w:eastAsia="仿宋" w:cs="仿宋"/>
          <w:b/>
          <w:bCs/>
          <w:sz w:val="32"/>
          <w:szCs w:val="32"/>
        </w:rPr>
      </w:pPr>
      <w:r>
        <w:rPr>
          <w:rFonts w:hint="eastAsia" w:ascii="仿宋" w:hAnsi="仿宋" w:eastAsia="仿宋" w:cs="仿宋"/>
          <w:b/>
          <w:bCs/>
          <w:sz w:val="32"/>
          <w:szCs w:val="32"/>
        </w:rPr>
        <w:t>第三章 减分</w:t>
      </w:r>
    </w:p>
    <w:p w14:paraId="26D96C4D">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第十条 评价对象代理项目负责人在招标文件备案、开评标和争议处理过程无正当理由未到岗履职，或虽到岗，但经监管人员问询对相关业务不了解的，每人次减0.5分。</w:t>
      </w:r>
    </w:p>
    <w:p w14:paraId="7141146D">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代理合同中载明负责招标文件（招标公告）编制（发布）的代理项目组人员，经监管人员问询对相关业务不了解的，每人次减0.5分。</w:t>
      </w:r>
    </w:p>
    <w:p w14:paraId="7AFDCEE4">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第十一条 评价对象人员报名参加省市监管部门组织的业务知识考试后，无故不参加考试的，每人次减</w:t>
      </w:r>
      <w:r>
        <w:rPr>
          <w:rFonts w:hint="eastAsia" w:ascii="仿宋" w:hAnsi="仿宋" w:eastAsia="仿宋" w:cs="仿宋"/>
          <w:sz w:val="32"/>
          <w:szCs w:val="32"/>
          <w:lang w:val="en-US" w:eastAsia="zh-CN"/>
        </w:rPr>
        <w:t>0.5</w:t>
      </w:r>
      <w:r>
        <w:rPr>
          <w:rFonts w:hint="eastAsia" w:ascii="仿宋" w:hAnsi="仿宋" w:eastAsia="仿宋" w:cs="仿宋"/>
          <w:sz w:val="32"/>
          <w:szCs w:val="32"/>
        </w:rPr>
        <w:t>分；省市监管部门组织的监督执法检查中发现违法违规行为，经督促仍未限期整改到位的，每项次减</w:t>
      </w:r>
      <w:r>
        <w:rPr>
          <w:rFonts w:hint="eastAsia" w:ascii="仿宋" w:hAnsi="仿宋" w:eastAsia="仿宋" w:cs="仿宋"/>
          <w:sz w:val="32"/>
          <w:szCs w:val="32"/>
          <w:lang w:val="en-US" w:eastAsia="zh-CN"/>
        </w:rPr>
        <w:t>1</w:t>
      </w:r>
      <w:r>
        <w:rPr>
          <w:rFonts w:hint="eastAsia" w:ascii="仿宋" w:hAnsi="仿宋" w:eastAsia="仿宋" w:cs="仿宋"/>
          <w:sz w:val="32"/>
          <w:szCs w:val="32"/>
        </w:rPr>
        <w:t>分。</w:t>
      </w:r>
    </w:p>
    <w:p w14:paraId="4E2D9372">
      <w:pPr>
        <w:spacing w:line="600" w:lineRule="exact"/>
        <w:ind w:firstLine="640" w:firstLineChars="200"/>
        <w:rPr>
          <w:rFonts w:ascii="仿宋" w:hAnsi="仿宋" w:eastAsia="仿宋" w:cs="仿宋"/>
          <w:b w:val="0"/>
          <w:bCs w:val="0"/>
          <w:sz w:val="32"/>
          <w:szCs w:val="32"/>
        </w:rPr>
      </w:pPr>
      <w:r>
        <w:rPr>
          <w:rFonts w:hint="eastAsia" w:ascii="仿宋" w:hAnsi="仿宋" w:eastAsia="仿宋" w:cs="仿宋"/>
          <w:sz w:val="32"/>
          <w:szCs w:val="32"/>
        </w:rPr>
        <w:t>第十二条 评价对象不得低于成本承接进场交易建设工程招标代理业务。</w:t>
      </w:r>
      <w:r>
        <w:rPr>
          <w:rFonts w:hint="eastAsia" w:ascii="仿宋" w:hAnsi="仿宋" w:eastAsia="仿宋" w:cs="仿宋"/>
          <w:b w:val="0"/>
          <w:bCs w:val="0"/>
          <w:sz w:val="32"/>
          <w:szCs w:val="32"/>
        </w:rPr>
        <w:t>承接价格低于《江苏省招标代理服务收费指导意见》（苏招协〔2022〕002号）所定标准30%的，须提供该标段代理费用不低于成本的合理性书面说明，不提供书面说明或无法说明合理性的，视为低于成本价恶性竞争，扰乱市场秩序，每个标段根据情节严重程度酌情减0.5-1.5分；</w:t>
      </w:r>
      <w:r>
        <w:rPr>
          <w:rFonts w:hint="eastAsia" w:ascii="仿宋" w:hAnsi="仿宋" w:eastAsia="仿宋" w:cs="仿宋"/>
          <w:b w:val="0"/>
          <w:bCs w:val="0"/>
          <w:sz w:val="32"/>
          <w:szCs w:val="32"/>
          <w:lang w:eastAsia="zh-CN"/>
        </w:rPr>
        <w:t>以</w:t>
      </w:r>
      <w:r>
        <w:rPr>
          <w:rFonts w:hint="eastAsia" w:ascii="仿宋" w:hAnsi="仿宋" w:eastAsia="仿宋" w:cs="仿宋"/>
          <w:b w:val="0"/>
          <w:bCs w:val="0"/>
          <w:sz w:val="32"/>
          <w:szCs w:val="32"/>
        </w:rPr>
        <w:t>零元报价恶性竞争获取代理项目的，每个标段减2分。</w:t>
      </w:r>
    </w:p>
    <w:p w14:paraId="5722E596">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第十三条 评价对象代理的项目产生投诉，经监管部门处理认定投诉成立且属评价对象责任的，每项次视情节严重程度减3-5分。</w:t>
      </w:r>
    </w:p>
    <w:p w14:paraId="61913BB0">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评价对象代理的项目产生越级信访或网络媒体曝光事件，经监管部门核实属于评价对象原因导致的，每项次视情节严重程度减3-5分。</w:t>
      </w:r>
    </w:p>
    <w:p w14:paraId="3E8CFDA2">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第十四条 评价对象对监管部门依法开展的监督执法工作有抵触、抗拒、逃避或其他不配合行为的，视情节严重程度减1-3分。</w:t>
      </w:r>
    </w:p>
    <w:p w14:paraId="77AF27A6">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评价对象相关人员明知或应当知道监管部门将开展与其有关的监督执法工作，仍发生下列情形之一的，可按本条规定处理：</w:t>
      </w:r>
    </w:p>
    <w:p w14:paraId="09B17F0A">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（一）工作时间拨打其电话（手机）2次以上，均为关机或无法接通，事后又无法给出合理解释的；</w:t>
      </w:r>
    </w:p>
    <w:p w14:paraId="025FC571">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（二）约定谈话的时间、地点、人员或送达资料的具体要求后，无故爽约的；</w:t>
      </w:r>
    </w:p>
    <w:p w14:paraId="72C79680">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（三）对监管部门发出的监督文书无故不予接收的；</w:t>
      </w:r>
    </w:p>
    <w:p w14:paraId="664104E1">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（四）对监管部门书面问询的事项不予正面答复或不在规定时间内答复的；</w:t>
      </w:r>
    </w:p>
    <w:p w14:paraId="2155CC49">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（五）相关人员因种种原因无法配合监督执法，又不及时安排其他了解情况的人员配合工作的；</w:t>
      </w:r>
    </w:p>
    <w:p w14:paraId="6C07FC0A">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（六）有其他依法依规应当配合而不配合行为的。</w:t>
      </w:r>
    </w:p>
    <w:p w14:paraId="47B2BC57">
      <w:pPr>
        <w:spacing w:line="600" w:lineRule="exact"/>
        <w:jc w:val="center"/>
        <w:rPr>
          <w:rFonts w:ascii="仿宋" w:hAnsi="仿宋" w:eastAsia="仿宋" w:cs="仿宋"/>
          <w:b/>
          <w:bCs/>
          <w:sz w:val="32"/>
          <w:szCs w:val="32"/>
        </w:rPr>
      </w:pPr>
      <w:r>
        <w:rPr>
          <w:rFonts w:hint="eastAsia" w:ascii="仿宋" w:hAnsi="仿宋" w:eastAsia="仿宋" w:cs="仿宋"/>
          <w:b/>
          <w:bCs/>
          <w:sz w:val="32"/>
          <w:szCs w:val="32"/>
        </w:rPr>
        <w:t>第四章 惩戒</w:t>
      </w:r>
    </w:p>
    <w:p w14:paraId="73FE2BA0">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第十五条 评价对象被查实有严重招投标违法违规行为或恶意对抗监管情形的，除依法依规处理外，该计分周期实际经营行为评价分值的加分总数直接清零。</w:t>
      </w:r>
    </w:p>
    <w:p w14:paraId="71446CA0">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评价对象被惩戒导致加分清零的，其减分不受影响。</w:t>
      </w:r>
    </w:p>
    <w:p w14:paraId="449CB773">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第十六条 下列情形属于第十五条规定的严重招投标违法违规行为：</w:t>
      </w:r>
      <w:r>
        <w:rPr>
          <w:rFonts w:hint="eastAsia" w:ascii="仿宋" w:hAnsi="仿宋" w:eastAsia="仿宋" w:cs="仿宋"/>
          <w:sz w:val="32"/>
          <w:szCs w:val="32"/>
        </w:rPr>
        <w:br w:type="textWrapping"/>
      </w:r>
      <w:r>
        <w:rPr>
          <w:rFonts w:hint="eastAsia" w:ascii="仿宋" w:hAnsi="仿宋" w:eastAsia="仿宋" w:cs="仿宋"/>
          <w:sz w:val="32"/>
          <w:szCs w:val="32"/>
        </w:rPr>
        <w:t xml:space="preserve">    （一）评价所提供资料、信息、数据弄虚作假的；</w:t>
      </w:r>
    </w:p>
    <w:p w14:paraId="0CED6229">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（二）评价对象或其代理项目组主要人员发生省动态考评办法规定的“严重失信行为”的；</w:t>
      </w:r>
    </w:p>
    <w:p w14:paraId="6E0919AB">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（三）依据《中华人民共和国招标投标法》《中华人民共和国招标投标法实施条例》和《江苏省招标投标条例》，评价对象或其代理项目组主要人员应当被给予行政处罚的；</w:t>
      </w:r>
    </w:p>
    <w:p w14:paraId="2B87CE0D">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（四）评价对象法定代表人或实际主要负责人因发生招投标违法行为被追究刑事责任的；</w:t>
      </w:r>
    </w:p>
    <w:p w14:paraId="3BC5D66D">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（五）其他依法依规应当认定为严重违法违规行为的。</w:t>
      </w:r>
    </w:p>
    <w:p w14:paraId="70E363BC">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第十七条 下列情形属于第十五条规定的恶意对抗监管：</w:t>
      </w:r>
    </w:p>
    <w:p w14:paraId="1107AB5A">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（一）因不满监管部门依法开展的监督执法，对监管人员进行辱骂、威胁、殴打、诬告的；</w:t>
      </w:r>
    </w:p>
    <w:p w14:paraId="556C4362">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（二）对监管部门的监督执法过程或结果持不同意见，但不通过正常渠道表达诉求，而是组织、串联、鼓动相关主体、人员集聚滋事或向媒体发布不实信息的；</w:t>
      </w:r>
    </w:p>
    <w:p w14:paraId="33FF9FD2">
      <w:pPr>
        <w:spacing w:line="600" w:lineRule="exact"/>
        <w:ind w:firstLine="640"/>
        <w:rPr>
          <w:rFonts w:ascii="仿宋" w:hAnsi="仿宋" w:eastAsia="仿宋" w:cs="仿宋"/>
          <w:sz w:val="32"/>
          <w:szCs w:val="32"/>
        </w:rPr>
      </w:pPr>
      <w:r>
        <w:rPr>
          <w:rFonts w:hint="eastAsia" w:ascii="仿宋" w:hAnsi="仿宋" w:eastAsia="仿宋" w:cs="仿宋"/>
          <w:sz w:val="32"/>
          <w:szCs w:val="32"/>
        </w:rPr>
        <w:t>（三）无正当理由对行政部门依法发出的《行政监督意见书》或《投诉处理决定书》不予执行，经督促仍不改正的；</w:t>
      </w:r>
    </w:p>
    <w:p w14:paraId="30BB4F9C">
      <w:pPr>
        <w:spacing w:line="600" w:lineRule="exact"/>
        <w:ind w:firstLine="640"/>
        <w:rPr>
          <w:rFonts w:ascii="仿宋" w:hAnsi="仿宋" w:eastAsia="仿宋" w:cs="仿宋"/>
          <w:sz w:val="32"/>
          <w:szCs w:val="32"/>
        </w:rPr>
      </w:pPr>
      <w:r>
        <w:rPr>
          <w:rFonts w:hint="eastAsia" w:ascii="仿宋" w:hAnsi="仿宋" w:eastAsia="仿宋" w:cs="仿宋"/>
          <w:sz w:val="32"/>
          <w:szCs w:val="32"/>
        </w:rPr>
        <w:t>（四）其他依法依规应当认定为恶意对抗监管的情形。</w:t>
      </w:r>
    </w:p>
    <w:p w14:paraId="3346A54E">
      <w:pPr>
        <w:spacing w:line="600" w:lineRule="exact"/>
        <w:jc w:val="center"/>
        <w:rPr>
          <w:rFonts w:ascii="仿宋" w:hAnsi="仿宋" w:eastAsia="仿宋" w:cs="仿宋"/>
          <w:b/>
          <w:bCs/>
          <w:sz w:val="32"/>
          <w:szCs w:val="32"/>
        </w:rPr>
      </w:pPr>
      <w:r>
        <w:rPr>
          <w:rFonts w:hint="eastAsia" w:ascii="仿宋" w:hAnsi="仿宋" w:eastAsia="仿宋" w:cs="仿宋"/>
          <w:b/>
          <w:bCs/>
          <w:sz w:val="32"/>
          <w:szCs w:val="32"/>
        </w:rPr>
        <w:t>第五章 附则</w:t>
      </w:r>
    </w:p>
    <w:p w14:paraId="7F06C522">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第十八条 本细则中“以上”、“以内”等均包含本数。</w:t>
      </w:r>
    </w:p>
    <w:p w14:paraId="4DFD5DAB">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第十九条 评价对象违法违规且依据本细则应予以减分或惩戒的，依法依规作出的处理不影响对其施以综合评价减分或惩戒。反之亦然。</w:t>
      </w:r>
    </w:p>
    <w:p w14:paraId="1A6CA44C">
      <w:pPr>
        <w:rPr>
          <w:rFonts w:ascii="仿宋" w:hAnsi="仿宋" w:eastAsia="仿宋" w:cs="仿宋"/>
          <w:sz w:val="32"/>
          <w:szCs w:val="32"/>
        </w:rPr>
      </w:pPr>
      <w:r>
        <w:rPr>
          <w:rFonts w:hint="eastAsia" w:ascii="仿宋" w:hAnsi="仿宋" w:eastAsia="仿宋" w:cs="仿宋"/>
          <w:sz w:val="32"/>
          <w:szCs w:val="32"/>
        </w:rPr>
        <w:br w:type="page"/>
      </w:r>
    </w:p>
    <w:p w14:paraId="391A323E">
      <w:pPr>
        <w:spacing w:line="600" w:lineRule="exact"/>
        <w:rPr>
          <w:rFonts w:ascii="方正黑体_GBK" w:hAnsi="仿宋" w:eastAsia="方正黑体_GBK" w:cs="仿宋"/>
          <w:sz w:val="32"/>
          <w:szCs w:val="32"/>
        </w:rPr>
      </w:pPr>
      <w:r>
        <w:rPr>
          <w:rFonts w:hint="eastAsia" w:ascii="方正黑体_GBK" w:hAnsi="仿宋" w:eastAsia="方正黑体_GBK" w:cs="仿宋"/>
          <w:sz w:val="32"/>
          <w:szCs w:val="32"/>
        </w:rPr>
        <w:t>附件3</w:t>
      </w:r>
    </w:p>
    <w:p w14:paraId="5FF43BD3">
      <w:pPr>
        <w:spacing w:line="600" w:lineRule="exact"/>
        <w:rPr>
          <w:rFonts w:ascii="方正黑体_GBK" w:hAnsi="仿宋" w:eastAsia="方正黑体_GBK" w:cs="仿宋"/>
          <w:sz w:val="32"/>
          <w:szCs w:val="32"/>
        </w:rPr>
      </w:pPr>
    </w:p>
    <w:p w14:paraId="602620D3">
      <w:pPr>
        <w:spacing w:line="600" w:lineRule="exact"/>
        <w:jc w:val="center"/>
        <w:rPr>
          <w:rFonts w:ascii="方正小标宋简体" w:hAnsi="仿宋" w:eastAsia="方正小标宋简体" w:cs="仿宋"/>
          <w:sz w:val="44"/>
          <w:szCs w:val="44"/>
        </w:rPr>
      </w:pPr>
      <w:r>
        <w:rPr>
          <w:rFonts w:hint="eastAsia" w:ascii="方正小标宋简体" w:hAnsi="仿宋" w:eastAsia="方正小标宋简体" w:cs="仿宋"/>
          <w:sz w:val="44"/>
          <w:szCs w:val="44"/>
        </w:rPr>
        <w:t>其他综合表现情况计分细则</w:t>
      </w:r>
    </w:p>
    <w:p w14:paraId="0C93BBAA">
      <w:pPr>
        <w:pStyle w:val="8"/>
        <w:widowControl/>
        <w:shd w:val="clear" w:color="auto" w:fill="FFFFFF"/>
        <w:spacing w:beforeLines="100" w:beforeAutospacing="0" w:after="0" w:afterAutospacing="0"/>
        <w:ind w:firstLine="640" w:firstLineChars="200"/>
        <w:jc w:val="both"/>
        <w:rPr>
          <w:rFonts w:ascii="仿宋" w:hAnsi="仿宋" w:eastAsia="仿宋" w:cs="仿宋"/>
          <w:sz w:val="32"/>
          <w:szCs w:val="32"/>
        </w:rPr>
      </w:pPr>
      <w:r>
        <w:rPr>
          <w:rFonts w:hint="eastAsia" w:ascii="仿宋" w:hAnsi="仿宋" w:eastAsia="仿宋" w:cs="仿宋"/>
          <w:sz w:val="32"/>
          <w:szCs w:val="32"/>
        </w:rPr>
        <w:t>本项评价内容包括代理机构的党建工作、行业信用评价情况、行业自律评价、社会责任履行和公益慈善情况、响应主管部门或行业协会组织的活动情况、参与行业共建以及其他与招投标行业建设有关的活动、荣誉和贡献等，具体计分方法如下：</w:t>
      </w:r>
    </w:p>
    <w:p w14:paraId="64D9DA99">
      <w:pPr>
        <w:ind w:firstLine="640" w:firstLineChars="200"/>
        <w:rPr>
          <w:rFonts w:ascii="仿宋" w:hAnsi="仿宋" w:eastAsia="仿宋" w:cs="仿宋"/>
          <w:kern w:val="0"/>
          <w:sz w:val="32"/>
          <w:szCs w:val="32"/>
        </w:rPr>
      </w:pPr>
      <w:r>
        <w:rPr>
          <w:rFonts w:hint="eastAsia" w:ascii="仿宋" w:hAnsi="仿宋" w:eastAsia="仿宋" w:cs="仿宋"/>
          <w:sz w:val="32"/>
          <w:szCs w:val="32"/>
        </w:rPr>
        <w:t>第一条 评价对象积极</w:t>
      </w:r>
      <w:r>
        <w:rPr>
          <w:rFonts w:hint="eastAsia" w:ascii="仿宋" w:hAnsi="仿宋" w:eastAsia="仿宋" w:cs="仿宋"/>
          <w:kern w:val="0"/>
          <w:sz w:val="32"/>
          <w:szCs w:val="32"/>
        </w:rPr>
        <w:t>参与省招标代理信用评价，获评“AAA”等级的加2分，“AA”等级的加1.5分，“A”等级的加1分。</w:t>
      </w:r>
    </w:p>
    <w:p w14:paraId="546E3F9B">
      <w:pPr>
        <w:ind w:firstLine="640" w:firstLineChars="200"/>
        <w:rPr>
          <w:rFonts w:ascii="仿宋" w:hAnsi="仿宋" w:eastAsia="仿宋" w:cs="仿宋"/>
          <w:sz w:val="32"/>
          <w:szCs w:val="32"/>
        </w:rPr>
      </w:pPr>
      <w:r>
        <w:rPr>
          <w:rFonts w:hint="eastAsia" w:ascii="仿宋" w:hAnsi="仿宋" w:eastAsia="仿宋" w:cs="仿宋"/>
          <w:sz w:val="32"/>
          <w:szCs w:val="32"/>
        </w:rPr>
        <w:t>第二条 评价对象</w:t>
      </w:r>
      <w:r>
        <w:rPr>
          <w:rFonts w:hint="eastAsia" w:ascii="仿宋" w:hAnsi="仿宋" w:eastAsia="仿宋" w:cs="仿宋"/>
          <w:sz w:val="32"/>
          <w:szCs w:val="32"/>
          <w:lang w:eastAsia="zh-CN"/>
        </w:rPr>
        <w:t>本地机构</w:t>
      </w:r>
      <w:r>
        <w:rPr>
          <w:rFonts w:hint="eastAsia" w:ascii="仿宋" w:hAnsi="仿宋" w:eastAsia="仿宋" w:cs="仿宋"/>
          <w:sz w:val="32"/>
          <w:szCs w:val="32"/>
        </w:rPr>
        <w:t>设有党组织（含联合党支部等）且正常开展党内活动的加</w:t>
      </w:r>
      <w:r>
        <w:rPr>
          <w:rFonts w:hint="eastAsia" w:ascii="仿宋" w:hAnsi="仿宋" w:eastAsia="仿宋" w:cs="仿宋"/>
          <w:sz w:val="32"/>
          <w:szCs w:val="32"/>
          <w:lang w:val="en-US" w:eastAsia="zh-CN"/>
        </w:rPr>
        <w:t>2</w:t>
      </w:r>
      <w:r>
        <w:rPr>
          <w:rFonts w:hint="eastAsia" w:ascii="仿宋" w:hAnsi="仿宋" w:eastAsia="仿宋" w:cs="仿宋"/>
          <w:sz w:val="32"/>
          <w:szCs w:val="32"/>
        </w:rPr>
        <w:t>分；没有</w:t>
      </w:r>
      <w:r>
        <w:rPr>
          <w:rFonts w:hint="eastAsia" w:ascii="仿宋" w:hAnsi="仿宋" w:eastAsia="仿宋" w:cs="仿宋"/>
          <w:sz w:val="32"/>
          <w:szCs w:val="32"/>
          <w:lang w:eastAsia="zh-CN"/>
        </w:rPr>
        <w:t>本地</w:t>
      </w:r>
      <w:r>
        <w:rPr>
          <w:rFonts w:hint="eastAsia" w:ascii="仿宋" w:hAnsi="仿宋" w:eastAsia="仿宋" w:cs="仿宋"/>
          <w:sz w:val="32"/>
          <w:szCs w:val="32"/>
        </w:rPr>
        <w:t>党组织，但党员经</w:t>
      </w:r>
      <w:r>
        <w:rPr>
          <w:rFonts w:hint="eastAsia" w:ascii="仿宋" w:hAnsi="仿宋" w:eastAsia="仿宋" w:cs="仿宋"/>
          <w:sz w:val="32"/>
          <w:szCs w:val="32"/>
          <w:lang w:eastAsia="zh-CN"/>
        </w:rPr>
        <w:t>机构</w:t>
      </w:r>
      <w:r>
        <w:rPr>
          <w:rFonts w:hint="eastAsia" w:ascii="仿宋" w:hAnsi="仿宋" w:eastAsia="仿宋" w:cs="仿宋"/>
          <w:sz w:val="32"/>
          <w:szCs w:val="32"/>
        </w:rPr>
        <w:t>所在地党组织证明正常参加属地日常党组织活动的，</w:t>
      </w:r>
      <w:r>
        <w:rPr>
          <w:rFonts w:hint="eastAsia" w:ascii="仿宋" w:hAnsi="仿宋" w:eastAsia="仿宋" w:cs="仿宋"/>
          <w:sz w:val="32"/>
          <w:szCs w:val="32"/>
          <w:lang w:eastAsia="zh-CN"/>
        </w:rPr>
        <w:t>每</w:t>
      </w:r>
      <w:r>
        <w:rPr>
          <w:rFonts w:hint="eastAsia" w:ascii="仿宋" w:hAnsi="仿宋" w:eastAsia="仿宋" w:cs="仿宋"/>
          <w:sz w:val="32"/>
          <w:szCs w:val="32"/>
        </w:rPr>
        <w:t>1名党员加0.5分</w:t>
      </w:r>
      <w:r>
        <w:rPr>
          <w:rFonts w:hint="eastAsia" w:ascii="仿宋" w:hAnsi="仿宋" w:eastAsia="仿宋" w:cs="仿宋"/>
          <w:sz w:val="32"/>
          <w:szCs w:val="32"/>
          <w:lang w:val="en-US" w:eastAsia="zh-CN"/>
        </w:rPr>
        <w:t>。本项</w:t>
      </w:r>
      <w:r>
        <w:rPr>
          <w:rFonts w:hint="eastAsia" w:ascii="仿宋" w:hAnsi="仿宋" w:eastAsia="仿宋" w:cs="仿宋"/>
          <w:sz w:val="32"/>
          <w:szCs w:val="32"/>
        </w:rPr>
        <w:t>最多加</w:t>
      </w:r>
      <w:r>
        <w:rPr>
          <w:rFonts w:hint="eastAsia" w:ascii="仿宋" w:hAnsi="仿宋" w:eastAsia="仿宋" w:cs="仿宋"/>
          <w:sz w:val="32"/>
          <w:szCs w:val="32"/>
          <w:lang w:val="en-US" w:eastAsia="zh-CN"/>
        </w:rPr>
        <w:t>2</w:t>
      </w:r>
      <w:r>
        <w:rPr>
          <w:rFonts w:hint="eastAsia" w:ascii="仿宋" w:hAnsi="仿宋" w:eastAsia="仿宋" w:cs="仿宋"/>
          <w:sz w:val="32"/>
          <w:szCs w:val="32"/>
        </w:rPr>
        <w:t>分。</w:t>
      </w:r>
    </w:p>
    <w:p w14:paraId="25021BAC">
      <w:pPr>
        <w:ind w:firstLine="640" w:firstLineChars="200"/>
        <w:rPr>
          <w:rFonts w:ascii="仿宋" w:hAnsi="仿宋" w:eastAsia="仿宋" w:cs="仿宋"/>
          <w:sz w:val="32"/>
          <w:szCs w:val="32"/>
        </w:rPr>
      </w:pPr>
      <w:r>
        <w:rPr>
          <w:rFonts w:hint="eastAsia" w:ascii="仿宋" w:hAnsi="仿宋" w:eastAsia="仿宋" w:cs="仿宋"/>
          <w:sz w:val="32"/>
          <w:szCs w:val="32"/>
        </w:rPr>
        <w:t>第三条 评价对象积极响应</w:t>
      </w:r>
      <w:r>
        <w:rPr>
          <w:rFonts w:hint="eastAsia" w:ascii="仿宋" w:hAnsi="仿宋" w:eastAsia="仿宋" w:cs="仿宋"/>
          <w:sz w:val="32"/>
          <w:szCs w:val="32"/>
          <w:lang w:eastAsia="zh-CN"/>
        </w:rPr>
        <w:t>我市</w:t>
      </w:r>
      <w:r>
        <w:rPr>
          <w:rFonts w:hint="eastAsia" w:ascii="仿宋" w:hAnsi="仿宋" w:eastAsia="仿宋" w:cs="仿宋"/>
          <w:sz w:val="32"/>
          <w:szCs w:val="32"/>
        </w:rPr>
        <w:t>行业监管部门或行业协会党组织号召，主动参加集体党建活动</w:t>
      </w:r>
      <w:r>
        <w:rPr>
          <w:rFonts w:hint="eastAsia" w:ascii="仿宋" w:hAnsi="仿宋" w:eastAsia="仿宋" w:cs="仿宋"/>
          <w:sz w:val="32"/>
          <w:szCs w:val="32"/>
          <w:lang w:val="en-US" w:eastAsia="zh-CN"/>
        </w:rPr>
        <w:t>或重大业务研讨活动</w:t>
      </w:r>
      <w:r>
        <w:rPr>
          <w:rFonts w:hint="eastAsia" w:ascii="仿宋" w:hAnsi="仿宋" w:eastAsia="仿宋" w:cs="仿宋"/>
          <w:sz w:val="32"/>
          <w:szCs w:val="32"/>
        </w:rPr>
        <w:t>的，每</w:t>
      </w:r>
      <w:r>
        <w:rPr>
          <w:rFonts w:hint="eastAsia" w:ascii="仿宋" w:hAnsi="仿宋" w:eastAsia="仿宋" w:cs="仿宋"/>
          <w:sz w:val="32"/>
          <w:szCs w:val="32"/>
          <w:lang w:eastAsia="zh-CN"/>
        </w:rPr>
        <w:t>人</w:t>
      </w:r>
      <w:r>
        <w:rPr>
          <w:rFonts w:hint="eastAsia" w:ascii="仿宋" w:hAnsi="仿宋" w:eastAsia="仿宋" w:cs="仿宋"/>
          <w:sz w:val="32"/>
          <w:szCs w:val="32"/>
        </w:rPr>
        <w:t>次加0.5分，本项最多加2分。</w:t>
      </w:r>
    </w:p>
    <w:p w14:paraId="46E0F088">
      <w:pPr>
        <w:ind w:firstLine="640" w:firstLineChars="200"/>
        <w:rPr>
          <w:rFonts w:hint="eastAsia" w:ascii="仿宋" w:hAnsi="仿宋" w:eastAsia="仿宋" w:cs="仿宋"/>
          <w:sz w:val="32"/>
          <w:szCs w:val="32"/>
        </w:rPr>
      </w:pPr>
      <w:r>
        <w:rPr>
          <w:rFonts w:hint="eastAsia" w:ascii="仿宋" w:hAnsi="仿宋" w:eastAsia="仿宋" w:cs="仿宋"/>
          <w:sz w:val="32"/>
          <w:szCs w:val="32"/>
        </w:rPr>
        <w:t>第四条 鼓励评价对象积极参与行业共建</w:t>
      </w:r>
      <w:r>
        <w:rPr>
          <w:rFonts w:hint="eastAsia" w:ascii="仿宋" w:hAnsi="仿宋" w:eastAsia="仿宋" w:cs="仿宋"/>
          <w:sz w:val="32"/>
          <w:szCs w:val="32"/>
          <w:lang w:eastAsia="zh-CN"/>
        </w:rPr>
        <w:t>和创新创优</w:t>
      </w:r>
      <w:r>
        <w:rPr>
          <w:rFonts w:hint="eastAsia" w:ascii="仿宋" w:hAnsi="仿宋" w:eastAsia="仿宋" w:cs="仿宋"/>
          <w:sz w:val="32"/>
          <w:szCs w:val="32"/>
        </w:rPr>
        <w:t>。</w:t>
      </w:r>
    </w:p>
    <w:p w14:paraId="3B498ED4">
      <w:pPr>
        <w:ind w:firstLine="640" w:firstLineChars="200"/>
        <w:rPr>
          <w:rFonts w:hint="default" w:ascii="仿宋" w:hAnsi="仿宋" w:eastAsia="仿宋" w:cs="仿宋"/>
          <w:color w:val="auto"/>
          <w:sz w:val="32"/>
          <w:szCs w:val="32"/>
          <w:lang w:val="en-US" w:eastAsia="zh-CN"/>
        </w:rPr>
      </w:pPr>
      <w:r>
        <w:rPr>
          <w:rFonts w:hint="eastAsia" w:ascii="仿宋" w:hAnsi="仿宋" w:eastAsia="仿宋" w:cs="仿宋"/>
          <w:sz w:val="32"/>
          <w:szCs w:val="32"/>
        </w:rPr>
        <w:t>因招标代理从业表现良好受到我市建设行政主管部门或</w:t>
      </w:r>
      <w:r>
        <w:rPr>
          <w:rFonts w:hint="eastAsia" w:ascii="仿宋" w:hAnsi="仿宋" w:eastAsia="仿宋" w:cs="仿宋"/>
          <w:sz w:val="32"/>
          <w:szCs w:val="32"/>
          <w:lang w:eastAsia="zh-CN"/>
        </w:rPr>
        <w:t>我市</w:t>
      </w:r>
      <w:r>
        <w:rPr>
          <w:rFonts w:hint="eastAsia" w:ascii="仿宋" w:hAnsi="仿宋" w:eastAsia="仿宋" w:cs="仿宋"/>
          <w:sz w:val="32"/>
          <w:szCs w:val="32"/>
        </w:rPr>
        <w:t>招投标监管部门表彰的，</w:t>
      </w:r>
      <w:r>
        <w:rPr>
          <w:rFonts w:hint="eastAsia" w:ascii="仿宋" w:hAnsi="仿宋" w:eastAsia="仿宋" w:cs="仿宋"/>
          <w:color w:val="auto"/>
          <w:sz w:val="32"/>
          <w:szCs w:val="32"/>
        </w:rPr>
        <w:t>每项次加1分</w:t>
      </w:r>
      <w:r>
        <w:rPr>
          <w:rFonts w:hint="eastAsia" w:ascii="仿宋" w:hAnsi="仿宋" w:eastAsia="仿宋" w:cs="仿宋"/>
          <w:color w:val="auto"/>
          <w:sz w:val="32"/>
          <w:szCs w:val="32"/>
          <w:lang w:eastAsia="zh-CN"/>
        </w:rPr>
        <w:t>。本项</w:t>
      </w:r>
      <w:r>
        <w:rPr>
          <w:rFonts w:hint="eastAsia" w:ascii="仿宋" w:hAnsi="仿宋" w:eastAsia="仿宋" w:cs="仿宋"/>
          <w:color w:val="auto"/>
          <w:sz w:val="32"/>
          <w:szCs w:val="32"/>
        </w:rPr>
        <w:t>最高加2分</w:t>
      </w:r>
      <w:r>
        <w:rPr>
          <w:rFonts w:hint="eastAsia" w:ascii="仿宋" w:hAnsi="仿宋" w:eastAsia="仿宋" w:cs="仿宋"/>
          <w:color w:val="auto"/>
          <w:sz w:val="32"/>
          <w:szCs w:val="32"/>
          <w:lang w:eastAsia="zh-CN"/>
        </w:rPr>
        <w:t>。</w:t>
      </w:r>
    </w:p>
    <w:p w14:paraId="3D4B556F">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积极参加我省或我市建设工程行业监管部门组织的招投标业务竞赛，个人一等奖、二等奖、三等奖、纪念奖，市级每项次分别加1分、0.7分、0.5分和0.3分，省级每项次分别加1.3分、1分、0.8分和0.5分，集体奖分值分别为同级别同档次个人奖的1.5倍；我市招标投标协会或我省建设监理与招投标协会表彰的（含组织的招投标业务竞赛获奖），按同级行政主管部门或行业监管部门的70%权重计取加分。</w:t>
      </w:r>
      <w:r>
        <w:rPr>
          <w:rFonts w:hint="eastAsia" w:ascii="仿宋" w:hAnsi="仿宋" w:eastAsia="仿宋" w:cs="仿宋"/>
          <w:sz w:val="32"/>
          <w:szCs w:val="32"/>
          <w:lang w:eastAsia="zh-CN"/>
        </w:rPr>
        <w:t>本项</w:t>
      </w:r>
      <w:r>
        <w:rPr>
          <w:rFonts w:hint="eastAsia" w:ascii="仿宋" w:hAnsi="仿宋" w:eastAsia="仿宋" w:cs="仿宋"/>
          <w:sz w:val="32"/>
          <w:szCs w:val="32"/>
        </w:rPr>
        <w:t>最</w:t>
      </w:r>
      <w:r>
        <w:rPr>
          <w:rFonts w:hint="eastAsia" w:ascii="仿宋" w:hAnsi="仿宋" w:eastAsia="仿宋" w:cs="仿宋"/>
          <w:sz w:val="32"/>
          <w:szCs w:val="32"/>
          <w:lang w:eastAsia="zh-CN"/>
        </w:rPr>
        <w:t>多</w:t>
      </w:r>
      <w:r>
        <w:rPr>
          <w:rFonts w:hint="eastAsia" w:ascii="仿宋" w:hAnsi="仿宋" w:eastAsia="仿宋" w:cs="仿宋"/>
          <w:sz w:val="32"/>
          <w:szCs w:val="32"/>
        </w:rPr>
        <w:t>加6分</w:t>
      </w:r>
      <w:r>
        <w:rPr>
          <w:rFonts w:hint="eastAsia" w:ascii="仿宋" w:hAnsi="仿宋" w:eastAsia="仿宋" w:cs="仿宋"/>
          <w:sz w:val="32"/>
          <w:szCs w:val="32"/>
          <w:lang w:eastAsia="zh-CN"/>
        </w:rPr>
        <w:t>。</w:t>
      </w:r>
    </w:p>
    <w:p w14:paraId="2B4E7994">
      <w:pPr>
        <w:ind w:right="33"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第五条 评价对象承办我市全市性招投标行业活动的，每次加</w:t>
      </w:r>
      <w:r>
        <w:rPr>
          <w:rFonts w:hint="eastAsia" w:ascii="仿宋" w:hAnsi="仿宋" w:eastAsia="仿宋" w:cs="仿宋"/>
          <w:sz w:val="32"/>
          <w:szCs w:val="32"/>
          <w:lang w:val="en-US" w:eastAsia="zh-CN"/>
        </w:rPr>
        <w:t>2</w:t>
      </w:r>
      <w:r>
        <w:rPr>
          <w:rFonts w:hint="eastAsia" w:ascii="仿宋" w:hAnsi="仿宋" w:eastAsia="仿宋" w:cs="仿宋"/>
          <w:sz w:val="32"/>
          <w:szCs w:val="32"/>
        </w:rPr>
        <w:t>分；协助我市行业监管部门或招投标协会组织活动的每人次加0.2分，最多加1.5分；参与行业主管部门或市招标投标协会组织的公益活动（含捐赠）的，每次加0.5分。</w:t>
      </w:r>
      <w:r>
        <w:rPr>
          <w:rFonts w:hint="eastAsia" w:ascii="仿宋" w:hAnsi="仿宋" w:eastAsia="仿宋" w:cs="仿宋"/>
          <w:sz w:val="32"/>
          <w:szCs w:val="32"/>
          <w:lang w:eastAsia="zh-CN"/>
        </w:rPr>
        <w:t>本项最多加</w:t>
      </w:r>
      <w:r>
        <w:rPr>
          <w:rFonts w:hint="eastAsia" w:ascii="仿宋" w:hAnsi="仿宋" w:eastAsia="仿宋" w:cs="仿宋"/>
          <w:sz w:val="32"/>
          <w:szCs w:val="32"/>
          <w:lang w:val="en-US" w:eastAsia="zh-CN"/>
        </w:rPr>
        <w:t>4分。</w:t>
      </w:r>
    </w:p>
    <w:p w14:paraId="75A630E8">
      <w:pPr>
        <w:ind w:firstLine="640" w:firstLineChars="200"/>
        <w:rPr>
          <w:rFonts w:ascii="仿宋" w:hAnsi="仿宋" w:eastAsia="仿宋" w:cs="仿宋"/>
          <w:sz w:val="32"/>
          <w:szCs w:val="32"/>
        </w:rPr>
      </w:pPr>
      <w:r>
        <w:rPr>
          <w:rFonts w:hint="eastAsia" w:ascii="仿宋" w:hAnsi="仿宋" w:eastAsia="仿宋" w:cs="仿宋"/>
          <w:sz w:val="32"/>
          <w:szCs w:val="32"/>
        </w:rPr>
        <w:t>第六条 评价对象就我市招投标市场健康规范发展或招投标监管制度机制优化完善方面，向我市市级招投标监管部门或招标投标协会书面建言献策并被采纳的，每条加0.3分，最高加</w:t>
      </w:r>
      <w:r>
        <w:rPr>
          <w:rFonts w:hint="eastAsia" w:ascii="仿宋" w:hAnsi="仿宋" w:eastAsia="仿宋" w:cs="仿宋"/>
          <w:sz w:val="32"/>
          <w:szCs w:val="32"/>
          <w:lang w:val="en-US" w:eastAsia="zh-CN"/>
        </w:rPr>
        <w:t>1.5</w:t>
      </w:r>
      <w:r>
        <w:rPr>
          <w:rFonts w:hint="eastAsia" w:ascii="仿宋" w:hAnsi="仿宋" w:eastAsia="仿宋" w:cs="仿宋"/>
          <w:sz w:val="32"/>
          <w:szCs w:val="32"/>
        </w:rPr>
        <w:t>分。</w:t>
      </w:r>
    </w:p>
    <w:p w14:paraId="6EE415D5">
      <w:pPr>
        <w:ind w:right="640"/>
        <w:rPr>
          <w:rFonts w:ascii="仿宋_GB2312" w:eastAsia="仿宋_GB2312"/>
          <w:sz w:val="32"/>
          <w:szCs w:val="32"/>
        </w:rPr>
      </w:pPr>
    </w:p>
    <w:p w14:paraId="65CB51C2">
      <w:pPr>
        <w:ind w:right="640"/>
        <w:rPr>
          <w:rFonts w:ascii="仿宋_GB2312" w:eastAsia="仿宋_GB2312"/>
          <w:sz w:val="32"/>
          <w:szCs w:val="32"/>
        </w:rPr>
      </w:pPr>
    </w:p>
    <w:p w14:paraId="7F20FD85">
      <w:pPr>
        <w:ind w:right="640"/>
        <w:rPr>
          <w:rFonts w:ascii="仿宋_GB2312" w:eastAsia="仿宋_GB2312"/>
          <w:sz w:val="32"/>
          <w:szCs w:val="32"/>
        </w:rPr>
      </w:pPr>
    </w:p>
    <w:p w14:paraId="4367160E">
      <w:pPr>
        <w:ind w:right="640"/>
        <w:rPr>
          <w:rFonts w:ascii="仿宋_GB2312" w:eastAsia="仿宋_GB2312"/>
          <w:sz w:val="32"/>
          <w:szCs w:val="32"/>
        </w:rPr>
      </w:pPr>
    </w:p>
    <w:p w14:paraId="0E264C6E">
      <w:pPr>
        <w:ind w:right="640"/>
        <w:rPr>
          <w:rFonts w:ascii="仿宋_GB2312" w:eastAsia="仿宋_GB2312"/>
          <w:sz w:val="32"/>
          <w:szCs w:val="32"/>
        </w:rPr>
      </w:pPr>
    </w:p>
    <w:p w14:paraId="493A7F6B">
      <w:pPr>
        <w:ind w:right="640"/>
        <w:rPr>
          <w:rFonts w:ascii="仿宋_GB2312" w:eastAsia="仿宋_GB2312"/>
          <w:sz w:val="32"/>
          <w:szCs w:val="32"/>
        </w:rPr>
      </w:pPr>
    </w:p>
    <w:p w14:paraId="3230BD09">
      <w:pPr>
        <w:ind w:right="640"/>
        <w:rPr>
          <w:rFonts w:ascii="仿宋_GB2312" w:eastAsia="仿宋_GB2312"/>
          <w:sz w:val="32"/>
          <w:szCs w:val="32"/>
        </w:rPr>
      </w:pPr>
    </w:p>
    <w:p w14:paraId="7D7C3AE4">
      <w:pPr>
        <w:ind w:right="640"/>
        <w:rPr>
          <w:rFonts w:ascii="仿宋_GB2312" w:eastAsia="仿宋_GB2312"/>
          <w:sz w:val="32"/>
          <w:szCs w:val="32"/>
        </w:rPr>
      </w:pPr>
    </w:p>
    <w:p w14:paraId="30782912">
      <w:pPr>
        <w:ind w:right="640"/>
        <w:rPr>
          <w:rFonts w:ascii="仿宋_GB2312" w:eastAsia="仿宋_GB2312"/>
          <w:sz w:val="32"/>
          <w:szCs w:val="32"/>
        </w:rPr>
      </w:pPr>
    </w:p>
    <w:p w14:paraId="0F01AFC7">
      <w:pPr>
        <w:ind w:right="640"/>
        <w:rPr>
          <w:rFonts w:ascii="仿宋_GB2312" w:eastAsia="仿宋_GB2312"/>
          <w:sz w:val="32"/>
          <w:szCs w:val="32"/>
        </w:rPr>
      </w:pPr>
    </w:p>
    <w:p w14:paraId="3C4C21CF">
      <w:pPr>
        <w:ind w:right="640"/>
        <w:rPr>
          <w:rFonts w:ascii="仿宋_GB2312" w:eastAsia="仿宋_GB2312"/>
          <w:sz w:val="32"/>
          <w:szCs w:val="32"/>
        </w:rPr>
      </w:pPr>
    </w:p>
    <w:p w14:paraId="4E91C435">
      <w:pPr>
        <w:ind w:right="640"/>
        <w:rPr>
          <w:rFonts w:ascii="仿宋_GB2312" w:eastAsia="仿宋_GB2312"/>
          <w:sz w:val="32"/>
          <w:szCs w:val="32"/>
        </w:rPr>
      </w:pPr>
    </w:p>
    <w:p w14:paraId="6582089B">
      <w:pPr>
        <w:ind w:right="640"/>
        <w:rPr>
          <w:rFonts w:ascii="仿宋_GB2312" w:eastAsia="仿宋_GB2312"/>
          <w:sz w:val="32"/>
          <w:szCs w:val="32"/>
        </w:rPr>
      </w:pPr>
    </w:p>
    <w:p w14:paraId="57B599C7">
      <w:pPr>
        <w:ind w:right="640"/>
        <w:rPr>
          <w:rFonts w:ascii="仿宋_GB2312" w:eastAsia="仿宋_GB2312"/>
          <w:sz w:val="32"/>
          <w:szCs w:val="32"/>
        </w:rPr>
      </w:pPr>
    </w:p>
    <w:p w14:paraId="246427BB">
      <w:pPr>
        <w:ind w:right="640"/>
        <w:rPr>
          <w:rFonts w:ascii="仿宋_GB2312" w:eastAsia="仿宋_GB2312"/>
          <w:sz w:val="32"/>
          <w:szCs w:val="32"/>
        </w:rPr>
      </w:pPr>
    </w:p>
    <w:p w14:paraId="05FEAE2C">
      <w:pPr>
        <w:ind w:right="640"/>
        <w:rPr>
          <w:rFonts w:ascii="仿宋_GB2312" w:eastAsia="仿宋_GB2312"/>
          <w:sz w:val="32"/>
          <w:szCs w:val="32"/>
        </w:rPr>
      </w:pPr>
    </w:p>
    <w:p w14:paraId="59067962">
      <w:pPr>
        <w:ind w:right="640"/>
        <w:rPr>
          <w:rFonts w:ascii="仿宋_GB2312" w:eastAsia="仿宋_GB2312"/>
          <w:sz w:val="32"/>
          <w:szCs w:val="32"/>
        </w:rPr>
      </w:pPr>
    </w:p>
    <w:p w14:paraId="7EB9E0BB">
      <w:pPr>
        <w:ind w:right="640"/>
        <w:rPr>
          <w:rFonts w:ascii="仿宋_GB2312" w:eastAsia="仿宋_GB2312"/>
          <w:sz w:val="32"/>
          <w:szCs w:val="32"/>
        </w:rPr>
      </w:pPr>
    </w:p>
    <w:p w14:paraId="39010B04">
      <w:pPr>
        <w:ind w:right="640"/>
        <w:rPr>
          <w:rFonts w:ascii="仿宋_GB2312" w:eastAsia="仿宋_GB2312"/>
          <w:sz w:val="32"/>
          <w:szCs w:val="32"/>
        </w:rPr>
      </w:pPr>
    </w:p>
    <w:p w14:paraId="140AF75F">
      <w:pPr>
        <w:ind w:right="640"/>
        <w:rPr>
          <w:rFonts w:ascii="仿宋_GB2312" w:eastAsia="仿宋_GB2312"/>
          <w:sz w:val="32"/>
          <w:szCs w:val="32"/>
        </w:rPr>
      </w:pPr>
    </w:p>
    <w:p w14:paraId="0551F752">
      <w:pPr>
        <w:ind w:right="640"/>
        <w:rPr>
          <w:rFonts w:ascii="仿宋_GB2312" w:eastAsia="仿宋_GB2312"/>
          <w:sz w:val="32"/>
          <w:szCs w:val="32"/>
        </w:rPr>
      </w:pPr>
    </w:p>
    <w:p w14:paraId="0D5EAC34">
      <w:pPr>
        <w:ind w:right="640"/>
        <w:rPr>
          <w:rFonts w:ascii="仿宋_GB2312" w:eastAsia="仿宋_GB2312"/>
          <w:sz w:val="32"/>
          <w:szCs w:val="32"/>
        </w:rPr>
      </w:pPr>
    </w:p>
    <w:p w14:paraId="555B9DE6">
      <w:pPr>
        <w:ind w:right="640"/>
        <w:rPr>
          <w:rFonts w:ascii="仿宋_GB2312" w:eastAsia="仿宋_GB2312"/>
          <w:sz w:val="32"/>
          <w:szCs w:val="32"/>
        </w:rPr>
      </w:pPr>
    </w:p>
    <w:p w14:paraId="667CDC70">
      <w:pPr>
        <w:ind w:right="640"/>
        <w:rPr>
          <w:rFonts w:ascii="仿宋_GB2312" w:eastAsia="仿宋_GB2312"/>
          <w:sz w:val="32"/>
          <w:szCs w:val="32"/>
        </w:rPr>
      </w:pPr>
    </w:p>
    <w:p w14:paraId="17F1C289">
      <w:pPr>
        <w:ind w:right="640"/>
        <w:rPr>
          <w:rFonts w:ascii="仿宋_GB2312" w:eastAsia="仿宋_GB2312"/>
          <w:sz w:val="32"/>
          <w:szCs w:val="32"/>
        </w:rPr>
      </w:pPr>
    </w:p>
    <w:p w14:paraId="71E1380F">
      <w:pPr>
        <w:ind w:right="640"/>
        <w:rPr>
          <w:rFonts w:ascii="仿宋_GB2312" w:eastAsia="仿宋_GB2312"/>
          <w:sz w:val="32"/>
          <w:szCs w:val="32"/>
        </w:rPr>
      </w:pPr>
    </w:p>
    <w:p w14:paraId="0D315D4D">
      <w:pPr>
        <w:spacing w:line="40" w:lineRule="exact"/>
        <w:jc w:val="left"/>
        <w:rPr>
          <w:rFonts w:ascii="仿宋_GB2312" w:hAnsi="仿宋" w:eastAsia="仿宋_GB2312"/>
          <w:sz w:val="32"/>
          <w:szCs w:val="32"/>
        </w:rPr>
      </w:pPr>
    </w:p>
    <w:p w14:paraId="64AAFFE0">
      <w:pPr>
        <w:spacing w:line="40" w:lineRule="exact"/>
        <w:ind w:firstLine="2240" w:firstLineChars="700"/>
        <w:rPr>
          <w:rFonts w:ascii="黑体" w:hAnsi="黑体" w:eastAsia="黑体" w:cs="黑体"/>
          <w:sz w:val="32"/>
          <w:szCs w:val="32"/>
        </w:rPr>
      </w:pPr>
    </w:p>
    <w:p w14:paraId="5960E546">
      <w:pPr>
        <w:spacing w:line="40" w:lineRule="exact"/>
        <w:jc w:val="left"/>
        <w:rPr>
          <w:rFonts w:ascii="仿宋_GB2312" w:hAnsi="仿宋" w:eastAsia="仿宋_GB2312"/>
          <w:sz w:val="32"/>
          <w:szCs w:val="32"/>
        </w:rPr>
      </w:pPr>
    </w:p>
    <w:p w14:paraId="7784109F">
      <w:pPr>
        <w:widowControl w:val="0"/>
        <w:kinsoku/>
        <w:autoSpaceDE/>
        <w:autoSpaceDN/>
        <w:adjustRightInd/>
        <w:snapToGrid/>
        <w:spacing w:line="540" w:lineRule="exact"/>
        <w:jc w:val="both"/>
        <w:textAlignment w:val="auto"/>
        <w:rPr>
          <w:rFonts w:hint="eastAsia" w:ascii="宋体" w:hAnsi="宋体" w:eastAsia="宋体" w:cs="Times New Roman"/>
          <w:b/>
          <w:snapToGrid/>
          <w:kern w:val="2"/>
          <w:sz w:val="32"/>
          <w:szCs w:val="32"/>
          <w:lang w:val="en-US" w:eastAsia="zh-CN"/>
        </w:rPr>
      </w:pPr>
    </w:p>
    <w:sectPr>
      <w:footerReference r:id="rId5" w:type="default"/>
      <w:pgSz w:w="11900" w:h="16840"/>
      <w:pgMar w:top="1316" w:right="1785" w:bottom="1186" w:left="1329" w:header="0" w:footer="1059" w:gutter="0"/>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2A2D9E7-C015-4BCE-8247-7D966D3F19C1}"/>
  </w:font>
  <w:font w:name="黑体">
    <w:panose1 w:val="02010609060101010101"/>
    <w:charset w:val="86"/>
    <w:family w:val="auto"/>
    <w:pitch w:val="default"/>
    <w:sig w:usb0="800002BF" w:usb1="38CF7CFA" w:usb2="00000016" w:usb3="00000000" w:csb0="00040001" w:csb1="00000000"/>
    <w:embedRegular r:id="rId2" w:fontKey="{DB263B03-5A35-4BAA-9DAB-CB41285207F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3" w:fontKey="{2F7AABB3-BE1D-4C1C-9582-9538E3220F88}"/>
  </w:font>
  <w:font w:name="仿宋">
    <w:panose1 w:val="02010609060101010101"/>
    <w:charset w:val="86"/>
    <w:family w:val="auto"/>
    <w:pitch w:val="default"/>
    <w:sig w:usb0="800002BF" w:usb1="38CF7CFA" w:usb2="00000016" w:usb3="00000000" w:csb0="00040001" w:csb1="00000000"/>
    <w:embedRegular r:id="rId4" w:fontKey="{0B93E7FD-A6DC-49AB-BD2B-DD220A2BCABF}"/>
  </w:font>
  <w:font w:name="楷体">
    <w:panose1 w:val="02010609060101010101"/>
    <w:charset w:val="86"/>
    <w:family w:val="modern"/>
    <w:pitch w:val="default"/>
    <w:sig w:usb0="800002BF" w:usb1="38CF7CFA" w:usb2="00000016" w:usb3="00000000" w:csb0="00040001" w:csb1="00000000"/>
    <w:embedRegular r:id="rId5" w:fontKey="{EDCE6D7D-2E84-42CF-B94B-330576871B1E}"/>
  </w:font>
  <w:font w:name="仿宋_GB2312">
    <w:altName w:val="仿宋"/>
    <w:panose1 w:val="00000000000000000000"/>
    <w:charset w:val="86"/>
    <w:family w:val="modern"/>
    <w:pitch w:val="default"/>
    <w:sig w:usb0="00000000" w:usb1="00000000" w:usb2="00000000" w:usb3="00000000" w:csb0="00040000" w:csb1="00000000"/>
    <w:embedRegular r:id="rId6" w:fontKey="{A24046E0-4074-46E5-83BF-BD9732B59807}"/>
  </w:font>
  <w:font w:name="华文楷体">
    <w:altName w:val="宋体"/>
    <w:panose1 w:val="02010600040101010101"/>
    <w:charset w:val="86"/>
    <w:family w:val="auto"/>
    <w:pitch w:val="default"/>
    <w:sig w:usb0="00000000" w:usb1="00000000" w:usb2="00000000" w:usb3="00000000" w:csb0="0004009F" w:csb1="DFD70000"/>
    <w:embedRegular r:id="rId7" w:fontKey="{1CF72302-4ED5-4BE7-9E9F-FC1C793C43D1}"/>
  </w:font>
  <w:font w:name="方正黑体_GBK">
    <w:altName w:val="微软雅黑"/>
    <w:panose1 w:val="00000000000000000000"/>
    <w:charset w:val="86"/>
    <w:family w:val="script"/>
    <w:pitch w:val="default"/>
    <w:sig w:usb0="00000000" w:usb1="00000000" w:usb2="00000000" w:usb3="00000000" w:csb0="00040000" w:csb1="00000000"/>
    <w:embedRegular r:id="rId8" w:fontKey="{E3D319A8-D211-4FB8-A189-4D032660C3A3}"/>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9" w:fontKey="{DC79C1A0-329E-4FF0-972C-850029DE3364}"/>
  </w:font>
  <w:font w:name="KSOFEC83043A">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4A72C">
    <w:pPr>
      <w:pStyle w:val="6"/>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FA2CC11">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14:paraId="6FA2CC11">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8D32A7E"/>
    <w:rsid w:val="08FD4BD5"/>
    <w:rsid w:val="0AE06E07"/>
    <w:rsid w:val="0CD914B5"/>
    <w:rsid w:val="0CDD7393"/>
    <w:rsid w:val="0D5154EF"/>
    <w:rsid w:val="0E3C03EB"/>
    <w:rsid w:val="0F1835B5"/>
    <w:rsid w:val="11250EE7"/>
    <w:rsid w:val="11733DA2"/>
    <w:rsid w:val="1331204B"/>
    <w:rsid w:val="143A275D"/>
    <w:rsid w:val="15352916"/>
    <w:rsid w:val="16822938"/>
    <w:rsid w:val="194D300E"/>
    <w:rsid w:val="1A732F49"/>
    <w:rsid w:val="1AF022C0"/>
    <w:rsid w:val="1B5763C6"/>
    <w:rsid w:val="1B79633D"/>
    <w:rsid w:val="1CDF5DE4"/>
    <w:rsid w:val="1DED4DC0"/>
    <w:rsid w:val="1F0A3D6A"/>
    <w:rsid w:val="20E73D48"/>
    <w:rsid w:val="28422863"/>
    <w:rsid w:val="29205C80"/>
    <w:rsid w:val="2ACF4481"/>
    <w:rsid w:val="2CF24105"/>
    <w:rsid w:val="2E81758A"/>
    <w:rsid w:val="305331A8"/>
    <w:rsid w:val="309D2F86"/>
    <w:rsid w:val="31041800"/>
    <w:rsid w:val="36BB5176"/>
    <w:rsid w:val="38D23337"/>
    <w:rsid w:val="395104A1"/>
    <w:rsid w:val="3B7C7050"/>
    <w:rsid w:val="3C4B567C"/>
    <w:rsid w:val="3C9E57AB"/>
    <w:rsid w:val="3FC65745"/>
    <w:rsid w:val="3FC75019"/>
    <w:rsid w:val="415E19AD"/>
    <w:rsid w:val="44F05012"/>
    <w:rsid w:val="46AB7443"/>
    <w:rsid w:val="47DC7497"/>
    <w:rsid w:val="48B445F1"/>
    <w:rsid w:val="4A082BE8"/>
    <w:rsid w:val="4A2D2262"/>
    <w:rsid w:val="4C261319"/>
    <w:rsid w:val="4E5531A0"/>
    <w:rsid w:val="51E97071"/>
    <w:rsid w:val="52C8312A"/>
    <w:rsid w:val="5692193A"/>
    <w:rsid w:val="5A1D3D5C"/>
    <w:rsid w:val="5C526A97"/>
    <w:rsid w:val="5C702869"/>
    <w:rsid w:val="5DFF59CF"/>
    <w:rsid w:val="5F48187B"/>
    <w:rsid w:val="60FE6D6F"/>
    <w:rsid w:val="61007FD3"/>
    <w:rsid w:val="62712E97"/>
    <w:rsid w:val="681C5653"/>
    <w:rsid w:val="68AB6E62"/>
    <w:rsid w:val="6BDD334B"/>
    <w:rsid w:val="6E22773B"/>
    <w:rsid w:val="6E45491C"/>
    <w:rsid w:val="71107458"/>
    <w:rsid w:val="739C1D3D"/>
    <w:rsid w:val="75F85103"/>
    <w:rsid w:val="77F379D0"/>
    <w:rsid w:val="7B3A1BF7"/>
    <w:rsid w:val="7C02295A"/>
    <w:rsid w:val="7F1C1F84"/>
    <w:rsid w:val="7F773F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unhideWhenUsed/>
    <w:qFormat/>
    <w:uiPriority w:val="99"/>
    <w:pPr>
      <w:tabs>
        <w:tab w:val="center" w:pos="4153"/>
        <w:tab w:val="right" w:pos="8306"/>
      </w:tabs>
      <w:snapToGrid w:val="0"/>
      <w:jc w:val="left"/>
    </w:pPr>
    <w:rPr>
      <w:rFonts w:asciiTheme="minorEastAsia" w:hAnsiTheme="minorEastAsia"/>
      <w:sz w:val="28"/>
      <w:szCs w:val="2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table" w:styleId="10">
    <w:name w:val="Table Grid"/>
    <w:basedOn w:val="9"/>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18</Pages>
  <Words>6735</Words>
  <Characters>6926</Characters>
  <TotalTime>5</TotalTime>
  <ScaleCrop>false</ScaleCrop>
  <LinksUpToDate>false</LinksUpToDate>
  <CharactersWithSpaces>6983</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2026-01-28T17:15:00Z</dcterms:created>
  <dc:creator>Administrator</dc:creator>
  <cp:lastModifiedBy>！...！</cp:lastModifiedBy>
  <dcterms:modified xsi:type="dcterms:W3CDTF">2026-03-06T07:04:17Z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2026-01-28T17:15:24Z</vt:filetime>
  </property>
  <property fmtid="{D5CDD505-2E9C-101B-9397-08002B2CF9AE}" pid="4" name="UsrData">
    <vt:lpwstr>6979d3ab6df830001f2d3d2ewl</vt:lpwstr>
  </property>
  <property fmtid="{D5CDD505-2E9C-101B-9397-08002B2CF9AE}" pid="5" name="KSOTemplateDocerSaveRecord">
    <vt:lpwstr>eyJoZGlkIjoiNDE1ZmNlYWMwMTI2MDc3MDg3NzI5NjY0MTZjMWZhZmYiLCJ1c2VySWQiOiIyMjY1MDY3MTIifQ==</vt:lpwstr>
  </property>
  <property fmtid="{D5CDD505-2E9C-101B-9397-08002B2CF9AE}" pid="6" name="KSOProductBuildVer">
    <vt:lpwstr>2052-12.1.0.25225</vt:lpwstr>
  </property>
  <property fmtid="{D5CDD505-2E9C-101B-9397-08002B2CF9AE}" pid="7" name="ICV">
    <vt:lpwstr>D1BEF412C6DC480AA1B9E0199F0A66BE_13</vt:lpwstr>
  </property>
</Properties>
</file>