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0AF7E9">
      <w:pPr>
        <w:pStyle w:val="4"/>
        <w:spacing w:line="360" w:lineRule="auto"/>
        <w:jc w:val="center"/>
        <w:rPr>
          <w:rFonts w:ascii="黑体" w:hAnsi="黑体" w:eastAsia="黑体"/>
          <w:b w:val="0"/>
        </w:rPr>
      </w:pPr>
      <w:r>
        <w:rPr>
          <w:rFonts w:hint="eastAsia" w:ascii="黑体" w:hAnsi="黑体" w:eastAsia="黑体"/>
          <w:b w:val="0"/>
        </w:rPr>
        <w:t>第四章  采购需求</w:t>
      </w:r>
    </w:p>
    <w:p w14:paraId="449A75A3">
      <w:pPr>
        <w:spacing w:line="500" w:lineRule="exact"/>
        <w:ind w:firstLine="480"/>
        <w:jc w:val="left"/>
        <w:rPr>
          <w:sz w:val="24"/>
          <w:szCs w:val="24"/>
        </w:rPr>
      </w:pPr>
      <w:r>
        <w:rPr>
          <w:rFonts w:hint="eastAsia"/>
          <w:sz w:val="24"/>
          <w:szCs w:val="24"/>
        </w:rPr>
        <w:t>说明：本项目属性为服务，采购标的对应的中小企业划分标准所属行业为：</w:t>
      </w:r>
      <w:r>
        <w:rPr>
          <w:rFonts w:hint="eastAsia"/>
          <w:sz w:val="24"/>
          <w:szCs w:val="24"/>
          <w:u w:val="single"/>
          <w:lang w:val="en-US" w:eastAsia="zh-CN"/>
        </w:rPr>
        <w:t>物业管理</w:t>
      </w:r>
      <w:r>
        <w:rPr>
          <w:rFonts w:hint="eastAsia"/>
          <w:sz w:val="24"/>
          <w:szCs w:val="24"/>
        </w:rPr>
        <w:t>。</w:t>
      </w:r>
    </w:p>
    <w:p w14:paraId="40230CE4">
      <w:pPr>
        <w:spacing w:line="360" w:lineRule="auto"/>
        <w:ind w:firstLine="480"/>
        <w:jc w:val="left"/>
        <w:rPr>
          <w:sz w:val="24"/>
          <w:szCs w:val="24"/>
        </w:rPr>
      </w:pPr>
      <w:r>
        <w:rPr>
          <w:rFonts w:hint="eastAsia"/>
          <w:sz w:val="24"/>
          <w:szCs w:val="24"/>
        </w:rPr>
        <w:t>按照《关于印发中小企业划型标准规定的通知》（</w:t>
      </w:r>
      <w:r>
        <w:rPr>
          <w:sz w:val="24"/>
          <w:szCs w:val="24"/>
        </w:rPr>
        <w:t>工信部联企业〔2011〕300号</w:t>
      </w:r>
      <w:r>
        <w:rPr>
          <w:rFonts w:hint="eastAsia"/>
          <w:sz w:val="24"/>
          <w:szCs w:val="24"/>
        </w:rPr>
        <w:t>）规定</w:t>
      </w:r>
      <w:r>
        <w:rPr>
          <w:rFonts w:hint="eastAsia"/>
          <w:sz w:val="24"/>
          <w:szCs w:val="24"/>
          <w:lang w:eastAsia="zh-CN"/>
        </w:rPr>
        <w:t>。</w:t>
      </w:r>
      <w:r>
        <w:rPr>
          <w:rFonts w:hint="eastAsia" w:ascii="宋体" w:hAnsi="宋体" w:eastAsia="宋体" w:cs="宋体"/>
          <w:i w:val="0"/>
          <w:iCs w:val="0"/>
          <w:caps w:val="0"/>
          <w:color w:val="000000"/>
          <w:spacing w:val="0"/>
          <w:sz w:val="24"/>
          <w:szCs w:val="24"/>
          <w:shd w:val="clear" w:color="auto" w:fill="FFFFFF"/>
        </w:rPr>
        <w:t>物业管理</w:t>
      </w:r>
      <w:r>
        <w:rPr>
          <w:rFonts w:hint="eastAsia" w:ascii="宋体" w:hAnsi="宋体" w:eastAsia="宋体" w:cs="宋体"/>
          <w:i w:val="0"/>
          <w:iCs w:val="0"/>
          <w:caps w:val="0"/>
          <w:color w:val="000000"/>
          <w:spacing w:val="0"/>
          <w:sz w:val="24"/>
          <w:szCs w:val="24"/>
          <w:shd w:val="clear" w:color="auto" w:fill="FFFFFF"/>
          <w:lang w:eastAsia="zh-CN"/>
        </w:rPr>
        <w:t>：</w:t>
      </w:r>
      <w:r>
        <w:rPr>
          <w:rFonts w:hint="eastAsia" w:ascii="宋体" w:hAnsi="宋体" w:eastAsia="宋体" w:cs="宋体"/>
          <w:i w:val="0"/>
          <w:iCs w:val="0"/>
          <w:caps w:val="0"/>
          <w:color w:val="000000"/>
          <w:spacing w:val="0"/>
          <w:sz w:val="24"/>
          <w:szCs w:val="24"/>
          <w:shd w:val="clear" w:color="auto" w:fill="FFFFFF"/>
        </w:rPr>
        <w:t>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52F72E8D">
      <w:pPr>
        <w:spacing w:line="500" w:lineRule="exact"/>
        <w:ind w:firstLine="480"/>
        <w:jc w:val="left"/>
        <w:rPr>
          <w:sz w:val="24"/>
          <w:szCs w:val="24"/>
        </w:rPr>
      </w:pPr>
      <w:r>
        <w:rPr>
          <w:rFonts w:hint="eastAsia"/>
          <w:sz w:val="24"/>
          <w:szCs w:val="24"/>
        </w:rPr>
        <w:t>1、根据《政府采购需求管理办法》等有关规定，征集人确定采购需求。</w:t>
      </w:r>
    </w:p>
    <w:p w14:paraId="37DCC637">
      <w:pPr>
        <w:spacing w:line="500" w:lineRule="exact"/>
        <w:ind w:firstLine="480"/>
        <w:jc w:val="left"/>
        <w:rPr>
          <w:sz w:val="24"/>
          <w:szCs w:val="24"/>
        </w:rPr>
      </w:pPr>
      <w:r>
        <w:rPr>
          <w:rFonts w:hint="eastAsia"/>
          <w:sz w:val="24"/>
          <w:szCs w:val="24"/>
        </w:rPr>
        <w:t>2、</w:t>
      </w:r>
      <w:r>
        <w:rPr>
          <w:rFonts w:hint="eastAsia"/>
          <w:b/>
          <w:sz w:val="24"/>
          <w:szCs w:val="24"/>
        </w:rPr>
        <w:t>本征集文件中</w:t>
      </w:r>
      <w:r>
        <w:rPr>
          <w:rFonts w:hint="eastAsia"/>
          <w:b/>
          <w:i/>
          <w:color w:val="FF0000"/>
          <w:sz w:val="24"/>
          <w:szCs w:val="24"/>
          <w:u w:val="single"/>
        </w:rPr>
        <w:t>斜体且有下划线部分</w:t>
      </w:r>
      <w:r>
        <w:rPr>
          <w:rFonts w:hint="eastAsia"/>
          <w:b/>
          <w:sz w:val="24"/>
          <w:szCs w:val="24"/>
        </w:rPr>
        <w:t>为实质性要求和条件</w:t>
      </w:r>
      <w:r>
        <w:rPr>
          <w:rFonts w:hint="eastAsia"/>
          <w:sz w:val="24"/>
          <w:szCs w:val="24"/>
        </w:rPr>
        <w:t>，由征集人根据实际情况设置，供应商须逐条明确作出满足实质性要求和条件的响应，否则将按无效响应处理。</w:t>
      </w:r>
    </w:p>
    <w:p w14:paraId="60A55CC6">
      <w:pPr>
        <w:pStyle w:val="10"/>
        <w:rPr>
          <w:rFonts w:eastAsiaTheme="minorEastAsia"/>
        </w:rPr>
      </w:pPr>
    </w:p>
    <w:p w14:paraId="32D425F1">
      <w:pPr>
        <w:pStyle w:val="5"/>
        <w:numPr>
          <w:ilvl w:val="1"/>
          <w:numId w:val="0"/>
        </w:numPr>
        <w:spacing w:before="0" w:after="0" w:line="360" w:lineRule="auto"/>
        <w:ind w:firstLine="480"/>
        <w:jc w:val="left"/>
        <w:rPr>
          <w:rFonts w:ascii="黑体" w:hAnsi="黑体" w:eastAsia="黑体" w:cs="宋体"/>
          <w:b w:val="0"/>
          <w:bCs w:val="0"/>
          <w:color w:val="000000"/>
          <w:sz w:val="24"/>
          <w:szCs w:val="24"/>
        </w:rPr>
      </w:pPr>
      <w:r>
        <w:rPr>
          <w:rFonts w:hint="eastAsia" w:ascii="黑体" w:hAnsi="黑体" w:eastAsia="黑体" w:cs="宋体"/>
          <w:b w:val="0"/>
          <w:color w:val="000000"/>
          <w:sz w:val="24"/>
          <w:szCs w:val="24"/>
        </w:rPr>
        <w:t>一、项目基本情况</w:t>
      </w:r>
    </w:p>
    <w:p w14:paraId="50F75F27">
      <w:pPr>
        <w:spacing w:line="360" w:lineRule="auto"/>
        <w:ind w:firstLine="480"/>
        <w:jc w:val="left"/>
        <w:rPr>
          <w:rFonts w:ascii="宋体" w:hAnsi="宋体" w:eastAsia="宋体" w:cs="仿宋"/>
          <w:color w:val="000000"/>
          <w:sz w:val="24"/>
          <w:szCs w:val="24"/>
          <w:highlight w:val="none"/>
          <w:u w:val="single"/>
        </w:rPr>
      </w:pPr>
      <w:r>
        <w:rPr>
          <w:rFonts w:hint="eastAsia" w:ascii="宋体" w:hAnsi="宋体" w:eastAsia="宋体" w:cs="Times New Roman"/>
          <w:bCs/>
          <w:color w:val="000000"/>
          <w:sz w:val="24"/>
          <w:szCs w:val="24"/>
        </w:rPr>
        <w:t>1.适用本次框架协议的采购人：</w:t>
      </w:r>
      <w:r>
        <w:rPr>
          <w:rFonts w:hint="eastAsia" w:ascii="宋体" w:hAnsi="宋体" w:eastAsia="宋体" w:cs="Times New Roman"/>
          <w:bCs/>
          <w:color w:val="000000"/>
          <w:sz w:val="24"/>
          <w:szCs w:val="24"/>
          <w:highlight w:val="none"/>
        </w:rPr>
        <w:t>连云港市本级</w:t>
      </w:r>
      <w:r>
        <w:rPr>
          <w:rFonts w:hint="eastAsia" w:ascii="宋体" w:hAnsi="宋体" w:eastAsia="宋体" w:cs="Times New Roman"/>
          <w:color w:val="000000"/>
          <w:sz w:val="24"/>
          <w:szCs w:val="24"/>
        </w:rPr>
        <w:t>、海州区、连云区、开发区、云台山景区、高新区</w:t>
      </w:r>
      <w:r>
        <w:rPr>
          <w:rFonts w:hint="eastAsia" w:ascii="宋体" w:hAnsi="宋体" w:eastAsia="宋体" w:cs="Times New Roman"/>
          <w:color w:val="000000"/>
          <w:sz w:val="24"/>
          <w:szCs w:val="24"/>
          <w:lang w:val="en-US" w:eastAsia="zh-CN"/>
        </w:rPr>
        <w:t>以及</w:t>
      </w:r>
      <w:r>
        <w:rPr>
          <w:rFonts w:hint="eastAsia" w:ascii="宋体" w:hAnsi="宋体" w:eastAsia="宋体" w:cs="Times New Roman"/>
          <w:color w:val="000000"/>
          <w:sz w:val="24"/>
          <w:szCs w:val="24"/>
        </w:rPr>
        <w:t>徐圩新区</w:t>
      </w:r>
      <w:r>
        <w:rPr>
          <w:rFonts w:hint="eastAsia" w:ascii="宋体" w:hAnsi="宋体" w:eastAsia="宋体" w:cs="Times New Roman"/>
          <w:bCs/>
          <w:color w:val="000000"/>
          <w:sz w:val="24"/>
          <w:szCs w:val="24"/>
          <w:highlight w:val="none"/>
        </w:rPr>
        <w:t>各级</w:t>
      </w:r>
      <w:r>
        <w:rPr>
          <w:rFonts w:hint="eastAsia" w:ascii="宋体" w:hAnsi="宋体" w:eastAsia="宋体" w:cs="Times New Roman"/>
          <w:bCs/>
          <w:color w:val="000000"/>
          <w:sz w:val="24"/>
          <w:szCs w:val="24"/>
          <w:highlight w:val="none"/>
          <w:lang w:val="en-US" w:eastAsia="zh-CN"/>
        </w:rPr>
        <w:t>国家</w:t>
      </w:r>
      <w:r>
        <w:rPr>
          <w:rFonts w:hint="eastAsia" w:ascii="宋体" w:hAnsi="宋体" w:eastAsia="宋体" w:cs="Times New Roman"/>
          <w:bCs/>
          <w:color w:val="000000"/>
          <w:sz w:val="24"/>
          <w:szCs w:val="24"/>
          <w:highlight w:val="none"/>
        </w:rPr>
        <w:t>机关、事业单位和团体组织</w:t>
      </w:r>
      <w:r>
        <w:rPr>
          <w:rFonts w:hint="eastAsia" w:ascii="宋体" w:hAnsi="宋体" w:eastAsia="宋体" w:cs="Times New Roman"/>
          <w:bCs/>
          <w:color w:val="000000"/>
          <w:sz w:val="24"/>
          <w:szCs w:val="24"/>
          <w:highlight w:val="none"/>
          <w:lang w:eastAsia="zh-CN"/>
        </w:rPr>
        <w:t>。</w:t>
      </w:r>
    </w:p>
    <w:p w14:paraId="42CA2C95">
      <w:pPr>
        <w:spacing w:line="360" w:lineRule="auto"/>
        <w:ind w:firstLine="480"/>
        <w:jc w:val="left"/>
        <w:rPr>
          <w:rFonts w:hint="eastAsia" w:ascii="宋体" w:hAnsi="宋体" w:eastAsia="宋体" w:cs="Times New Roman"/>
          <w:i w:val="0"/>
          <w:iCs/>
          <w:color w:val="000000"/>
          <w:sz w:val="24"/>
          <w:szCs w:val="24"/>
          <w:u w:val="none"/>
        </w:rPr>
      </w:pPr>
      <w:r>
        <w:rPr>
          <w:rFonts w:hint="eastAsia" w:ascii="宋体" w:hAnsi="宋体" w:eastAsia="宋体" w:cs="Times New Roman"/>
          <w:i w:val="0"/>
          <w:iCs/>
          <w:color w:val="000000"/>
          <w:sz w:val="24"/>
          <w:szCs w:val="24"/>
          <w:u w:val="none"/>
        </w:rPr>
        <w:t>2.框架协议的期限：</w:t>
      </w:r>
      <w:r>
        <w:rPr>
          <w:rFonts w:hint="eastAsia" w:ascii="宋体" w:hAnsi="宋体" w:eastAsia="宋体" w:cs="Times New Roman"/>
          <w:i w:val="0"/>
          <w:iCs/>
          <w:color w:val="000000"/>
          <w:sz w:val="24"/>
          <w:szCs w:val="24"/>
          <w:u w:val="none"/>
          <w:lang w:val="en-US" w:eastAsia="zh-CN"/>
        </w:rPr>
        <w:t>一年（</w:t>
      </w:r>
      <w:r>
        <w:rPr>
          <w:rFonts w:hint="eastAsia" w:ascii="宋体" w:hAnsi="宋体" w:eastAsia="宋体" w:cs="Times New Roman"/>
          <w:i w:val="0"/>
          <w:iCs/>
          <w:color w:val="000000"/>
          <w:sz w:val="24"/>
          <w:szCs w:val="24"/>
          <w:u w:val="none"/>
        </w:rPr>
        <w:t>自协议</w:t>
      </w:r>
      <w:r>
        <w:rPr>
          <w:rFonts w:hint="eastAsia" w:ascii="宋体" w:hAnsi="宋体" w:eastAsia="宋体" w:cs="Times New Roman"/>
          <w:i w:val="0"/>
          <w:iCs/>
          <w:color w:val="000000"/>
          <w:sz w:val="24"/>
          <w:szCs w:val="24"/>
          <w:u w:val="none"/>
          <w:lang w:val="en-US" w:eastAsia="zh-CN"/>
        </w:rPr>
        <w:t>约定</w:t>
      </w:r>
      <w:r>
        <w:rPr>
          <w:rFonts w:hint="eastAsia" w:ascii="宋体" w:hAnsi="宋体" w:eastAsia="宋体" w:cs="Times New Roman"/>
          <w:i w:val="0"/>
          <w:iCs/>
          <w:color w:val="000000"/>
          <w:sz w:val="24"/>
          <w:szCs w:val="24"/>
          <w:u w:val="none"/>
        </w:rPr>
        <w:t>之日起</w:t>
      </w:r>
      <w:r>
        <w:rPr>
          <w:rFonts w:hint="eastAsia" w:ascii="宋体" w:hAnsi="宋体" w:eastAsia="宋体" w:cs="Times New Roman"/>
          <w:i w:val="0"/>
          <w:iCs/>
          <w:color w:val="000000"/>
          <w:sz w:val="24"/>
          <w:szCs w:val="24"/>
          <w:u w:val="none"/>
          <w:lang w:val="en-US" w:eastAsia="zh-CN"/>
        </w:rPr>
        <w:t>）</w:t>
      </w:r>
      <w:r>
        <w:rPr>
          <w:rFonts w:hint="eastAsia" w:ascii="宋体" w:hAnsi="宋体" w:eastAsia="宋体" w:cs="Times New Roman"/>
          <w:i w:val="0"/>
          <w:iCs/>
          <w:color w:val="000000"/>
          <w:sz w:val="24"/>
          <w:szCs w:val="24"/>
          <w:u w:val="none"/>
        </w:rPr>
        <w:t>。</w:t>
      </w:r>
    </w:p>
    <w:p w14:paraId="64FADD44">
      <w:pPr>
        <w:spacing w:line="360" w:lineRule="auto"/>
        <w:ind w:firstLine="480"/>
        <w:jc w:val="left"/>
        <w:rPr>
          <w:rFonts w:ascii="宋体" w:hAnsi="宋体" w:eastAsia="宋体"/>
          <w:sz w:val="24"/>
          <w:szCs w:val="24"/>
        </w:rPr>
      </w:pPr>
      <w:r>
        <w:rPr>
          <w:rFonts w:hint="eastAsia" w:ascii="宋体" w:hAnsi="宋体" w:eastAsia="宋体" w:cs="Times New Roman"/>
          <w:bCs/>
          <w:color w:val="000000"/>
          <w:sz w:val="24"/>
          <w:szCs w:val="24"/>
        </w:rPr>
        <w:t>3.服务交付或履行合同的地域范围：连云港市本级、海州区、连云区、开发区、云台山景区、高新区、徐圩新区各级国家机关、事业单位和团体组织</w:t>
      </w:r>
      <w:r>
        <w:rPr>
          <w:rFonts w:hint="eastAsia" w:ascii="宋体" w:hAnsi="宋体" w:eastAsia="宋体"/>
          <w:bCs/>
          <w:sz w:val="24"/>
          <w:szCs w:val="24"/>
        </w:rPr>
        <w:t>。</w:t>
      </w:r>
    </w:p>
    <w:p w14:paraId="29C627AA">
      <w:pPr>
        <w:pStyle w:val="5"/>
        <w:numPr>
          <w:ilvl w:val="1"/>
          <w:numId w:val="0"/>
        </w:numPr>
        <w:spacing w:before="0" w:after="0" w:line="360" w:lineRule="auto"/>
        <w:ind w:firstLine="480"/>
        <w:jc w:val="left"/>
        <w:rPr>
          <w:rFonts w:ascii="黑体" w:hAnsi="黑体" w:eastAsia="黑体" w:cs="宋体"/>
          <w:b w:val="0"/>
          <w:bCs w:val="0"/>
          <w:color w:val="000000"/>
          <w:sz w:val="24"/>
          <w:szCs w:val="24"/>
        </w:rPr>
      </w:pPr>
      <w:r>
        <w:rPr>
          <w:rFonts w:hint="eastAsia" w:ascii="黑体" w:hAnsi="黑体" w:eastAsia="黑体" w:cs="宋体"/>
          <w:b w:val="0"/>
          <w:color w:val="000000"/>
          <w:sz w:val="24"/>
          <w:szCs w:val="24"/>
        </w:rPr>
        <w:t>二、服务技术要求及其他</w:t>
      </w:r>
    </w:p>
    <w:p w14:paraId="716B4BFE">
      <w:pPr>
        <w:spacing w:line="360" w:lineRule="auto"/>
        <w:ind w:firstLine="482"/>
        <w:jc w:val="left"/>
        <w:rPr>
          <w:rFonts w:ascii="宋体" w:hAnsi="宋体" w:eastAsia="宋体" w:cs="Times New Roman"/>
          <w:b/>
          <w:color w:val="000000"/>
          <w:sz w:val="24"/>
          <w:szCs w:val="24"/>
        </w:rPr>
      </w:pPr>
      <w:r>
        <w:rPr>
          <w:rFonts w:hint="eastAsia" w:ascii="宋体" w:hAnsi="宋体" w:eastAsia="宋体" w:cs="Times New Roman"/>
          <w:b/>
          <w:color w:val="000000"/>
          <w:sz w:val="24"/>
          <w:szCs w:val="24"/>
        </w:rPr>
        <w:t>1.服务内容</w:t>
      </w:r>
    </w:p>
    <w:p w14:paraId="3CEEDA12">
      <w:pPr>
        <w:spacing w:line="360" w:lineRule="auto"/>
        <w:ind w:firstLine="480"/>
        <w:jc w:val="left"/>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本次采购范围为</w:t>
      </w:r>
      <w:r>
        <w:rPr>
          <w:rFonts w:hint="eastAsia" w:ascii="宋体" w:hAnsi="宋体" w:eastAsia="宋体" w:cs="Times New Roman"/>
          <w:bCs/>
          <w:color w:val="000000"/>
          <w:sz w:val="24"/>
          <w:szCs w:val="24"/>
          <w:highlight w:val="none"/>
        </w:rPr>
        <w:t>连云港市本级</w:t>
      </w:r>
      <w:r>
        <w:rPr>
          <w:rFonts w:hint="eastAsia" w:ascii="宋体" w:hAnsi="宋体" w:eastAsia="宋体" w:cs="Times New Roman"/>
          <w:color w:val="000000"/>
          <w:sz w:val="24"/>
          <w:szCs w:val="24"/>
        </w:rPr>
        <w:t>、海州区、连云区、开发区、云台山景区、高新区、徐圩新区</w:t>
      </w:r>
      <w:r>
        <w:rPr>
          <w:rFonts w:hint="eastAsia" w:ascii="宋体" w:hAnsi="宋体" w:eastAsia="宋体" w:cs="Times New Roman"/>
          <w:color w:val="000000"/>
          <w:sz w:val="24"/>
          <w:szCs w:val="24"/>
          <w:lang w:eastAsia="zh-CN"/>
        </w:rPr>
        <w:t>（</w:t>
      </w:r>
      <w:r>
        <w:rPr>
          <w:rFonts w:hint="eastAsia" w:ascii="宋体" w:hAnsi="宋体" w:eastAsia="宋体" w:cs="Times New Roman"/>
          <w:color w:val="000000"/>
          <w:sz w:val="24"/>
          <w:szCs w:val="24"/>
          <w:lang w:val="en-US" w:eastAsia="zh-CN"/>
        </w:rPr>
        <w:t>待定</w:t>
      </w:r>
      <w:r>
        <w:rPr>
          <w:rFonts w:hint="eastAsia" w:ascii="宋体" w:hAnsi="宋体" w:eastAsia="宋体" w:cs="Times New Roman"/>
          <w:color w:val="000000"/>
          <w:sz w:val="24"/>
          <w:szCs w:val="24"/>
          <w:lang w:eastAsia="zh-CN"/>
        </w:rPr>
        <w:t>）</w:t>
      </w:r>
      <w:r>
        <w:rPr>
          <w:rFonts w:hint="eastAsia" w:ascii="宋体" w:hAnsi="宋体" w:eastAsia="宋体" w:cs="Times New Roman"/>
          <w:color w:val="000000"/>
          <w:sz w:val="24"/>
          <w:szCs w:val="24"/>
        </w:rPr>
        <w:t>等地</w:t>
      </w:r>
      <w:r>
        <w:rPr>
          <w:rFonts w:hint="eastAsia" w:ascii="宋体" w:hAnsi="宋体" w:eastAsia="宋体" w:cs="Times New Roman"/>
          <w:bCs/>
          <w:color w:val="000000"/>
          <w:sz w:val="24"/>
          <w:szCs w:val="24"/>
          <w:highlight w:val="none"/>
        </w:rPr>
        <w:t>各级</w:t>
      </w:r>
      <w:r>
        <w:rPr>
          <w:rFonts w:hint="eastAsia" w:ascii="宋体" w:hAnsi="宋体" w:eastAsia="宋体" w:cs="Times New Roman"/>
          <w:bCs/>
          <w:color w:val="000000"/>
          <w:sz w:val="24"/>
          <w:szCs w:val="24"/>
          <w:highlight w:val="none"/>
          <w:lang w:val="en-US" w:eastAsia="zh-CN"/>
        </w:rPr>
        <w:t>国家</w:t>
      </w:r>
      <w:r>
        <w:rPr>
          <w:rFonts w:hint="eastAsia" w:ascii="宋体" w:hAnsi="宋体" w:eastAsia="宋体" w:cs="Times New Roman"/>
          <w:bCs/>
          <w:color w:val="000000"/>
          <w:sz w:val="24"/>
          <w:szCs w:val="24"/>
          <w:highlight w:val="none"/>
        </w:rPr>
        <w:t>机关、事业单位和团体组织</w:t>
      </w:r>
      <w:r>
        <w:rPr>
          <w:rFonts w:hint="eastAsia" w:ascii="宋体" w:hAnsi="宋体" w:eastAsia="宋体" w:cs="Times New Roman"/>
          <w:color w:val="000000"/>
          <w:sz w:val="24"/>
          <w:szCs w:val="24"/>
        </w:rPr>
        <w:t>的</w:t>
      </w:r>
      <w:r>
        <w:rPr>
          <w:rFonts w:hint="eastAsia" w:ascii="宋体" w:hAnsi="宋体" w:eastAsia="宋体" w:cs="Times New Roman"/>
          <w:color w:val="000000"/>
          <w:sz w:val="24"/>
          <w:szCs w:val="24"/>
          <w:lang w:val="en-US" w:eastAsia="zh-CN"/>
        </w:rPr>
        <w:t>年度</w:t>
      </w:r>
      <w:r>
        <w:rPr>
          <w:rFonts w:hint="eastAsia" w:ascii="宋体" w:hAnsi="宋体" w:eastAsia="宋体" w:cs="Times New Roman"/>
          <w:color w:val="000000"/>
          <w:sz w:val="24"/>
          <w:szCs w:val="24"/>
        </w:rPr>
        <w:t>物业管理服务金额在</w:t>
      </w:r>
      <w:r>
        <w:rPr>
          <w:rFonts w:hint="eastAsia" w:ascii="宋体" w:hAnsi="宋体" w:eastAsia="宋体" w:cs="Times New Roman"/>
          <w:color w:val="000000"/>
          <w:sz w:val="24"/>
          <w:szCs w:val="24"/>
          <w:lang w:val="en-US" w:eastAsia="zh-CN"/>
        </w:rPr>
        <w:t>100</w:t>
      </w:r>
      <w:r>
        <w:rPr>
          <w:rFonts w:hint="eastAsia" w:ascii="宋体" w:hAnsi="宋体" w:eastAsia="宋体" w:cs="Times New Roman"/>
          <w:color w:val="000000"/>
          <w:sz w:val="24"/>
          <w:szCs w:val="24"/>
        </w:rPr>
        <w:t>万元（不含）以下的物业管理服务项目。</w:t>
      </w:r>
    </w:p>
    <w:p w14:paraId="1D9C53C8">
      <w:pPr>
        <w:numPr>
          <w:ilvl w:val="0"/>
          <w:numId w:val="1"/>
        </w:numPr>
        <w:spacing w:line="360" w:lineRule="auto"/>
        <w:ind w:firstLine="482"/>
        <w:rPr>
          <w:rFonts w:hint="eastAsia" w:ascii="宋体" w:hAnsi="宋体" w:eastAsia="宋体" w:cs="Times New Roman"/>
          <w:b/>
          <w:bCs/>
          <w:color w:val="000000"/>
          <w:sz w:val="24"/>
          <w:szCs w:val="24"/>
          <w:lang w:val="en-US" w:eastAsia="zh-CN"/>
        </w:rPr>
      </w:pPr>
      <w:r>
        <w:rPr>
          <w:rFonts w:hint="eastAsia" w:ascii="宋体" w:hAnsi="宋体" w:eastAsia="宋体" w:cs="Times New Roman"/>
          <w:b/>
          <w:bCs/>
          <w:color w:val="000000"/>
          <w:sz w:val="24"/>
          <w:szCs w:val="24"/>
        </w:rPr>
        <w:t>服务</w:t>
      </w:r>
      <w:r>
        <w:rPr>
          <w:rFonts w:hint="eastAsia" w:ascii="宋体" w:hAnsi="宋体" w:eastAsia="宋体" w:cs="Times New Roman"/>
          <w:b/>
          <w:bCs/>
          <w:color w:val="000000"/>
          <w:sz w:val="24"/>
          <w:szCs w:val="24"/>
          <w:lang w:val="en-US" w:eastAsia="zh-CN"/>
        </w:rPr>
        <w:t>标准</w:t>
      </w:r>
    </w:p>
    <w:p w14:paraId="1D7AC766">
      <w:pPr>
        <w:spacing w:line="360" w:lineRule="auto"/>
        <w:ind w:firstLine="480"/>
        <w:jc w:val="left"/>
        <w:rPr>
          <w:rFonts w:hint="eastAsia" w:ascii="宋体" w:hAnsi="宋体" w:eastAsia="宋体" w:cs="Times New Roman"/>
          <w:i w:val="0"/>
          <w:iCs/>
          <w:color w:val="000000"/>
          <w:sz w:val="24"/>
          <w:szCs w:val="24"/>
          <w:u w:val="none"/>
          <w:lang w:val="en-US" w:eastAsia="zh-CN"/>
        </w:rPr>
      </w:pPr>
      <w:r>
        <w:rPr>
          <w:rFonts w:hint="eastAsia" w:ascii="宋体" w:hAnsi="宋体" w:eastAsia="宋体" w:cs="Times New Roman"/>
          <w:i w:val="0"/>
          <w:iCs/>
          <w:color w:val="000000"/>
          <w:sz w:val="24"/>
          <w:szCs w:val="24"/>
          <w:u w:val="none"/>
          <w:lang w:val="en-US" w:eastAsia="zh-CN"/>
        </w:rPr>
        <w:t>物业管理服务管理标准按照财办库〔2024〕113号关于印发《物业管理服务政府采购需求标准（办公场所类）（试行）》和江苏省地方标准《党政机关办公楼(区)物业管理服务规范 》（DB32/T 4307-2022 ）执行，入围供应商和采购人在合同中进行明确。</w:t>
      </w:r>
    </w:p>
    <w:p w14:paraId="32A180AE">
      <w:pPr>
        <w:pageBreakBefore w:val="0"/>
        <w:spacing w:line="300" w:lineRule="auto"/>
        <w:ind w:firstLine="480"/>
        <w:outlineLvl w:val="9"/>
        <w:rPr>
          <w:rFonts w:hint="eastAsia" w:ascii="宋体" w:hAnsi="宋体" w:eastAsia="宋体" w:cs="Times New Roman"/>
          <w:i w:val="0"/>
          <w:iCs/>
          <w:color w:val="000000"/>
          <w:sz w:val="24"/>
          <w:szCs w:val="24"/>
          <w:u w:val="none"/>
          <w:lang w:val="en-US" w:eastAsia="zh-CN" w:bidi="ar-SA"/>
        </w:rPr>
      </w:pPr>
      <w:r>
        <w:rPr>
          <w:rFonts w:hint="eastAsia" w:ascii="宋体" w:hAnsi="宋体" w:eastAsia="宋体" w:cs="Times New Roman"/>
          <w:i w:val="0"/>
          <w:iCs/>
          <w:color w:val="000000"/>
          <w:sz w:val="24"/>
          <w:szCs w:val="24"/>
          <w:u w:val="none"/>
          <w:lang w:val="en-US" w:eastAsia="zh-CN" w:bidi="ar-SA"/>
        </w:rPr>
        <w:t>采购人可按照《政府采购需求管理办法》（财库</w:t>
      </w:r>
      <w:r>
        <w:rPr>
          <w:rFonts w:hint="eastAsia" w:ascii="宋体" w:hAnsi="宋体" w:eastAsia="宋体" w:cs="Times New Roman"/>
          <w:i w:val="0"/>
          <w:iCs/>
          <w:color w:val="000000"/>
          <w:sz w:val="24"/>
          <w:szCs w:val="24"/>
          <w:u w:val="none"/>
          <w:lang w:val="en-US" w:eastAsia="zh-CN"/>
        </w:rPr>
        <w:t>〔</w:t>
      </w:r>
      <w:r>
        <w:rPr>
          <w:rFonts w:hint="eastAsia" w:ascii="宋体" w:hAnsi="宋体" w:eastAsia="宋体" w:cs="Times New Roman"/>
          <w:i w:val="0"/>
          <w:iCs/>
          <w:color w:val="000000"/>
          <w:sz w:val="24"/>
          <w:szCs w:val="24"/>
          <w:u w:val="none"/>
          <w:lang w:val="en-US" w:eastAsia="zh-CN" w:bidi="ar-SA"/>
        </w:rPr>
        <w:t>2021</w:t>
      </w:r>
      <w:r>
        <w:rPr>
          <w:rFonts w:hint="eastAsia" w:ascii="宋体" w:hAnsi="宋体" w:eastAsia="宋体" w:cs="Times New Roman"/>
          <w:i w:val="0"/>
          <w:iCs/>
          <w:color w:val="000000"/>
          <w:sz w:val="24"/>
          <w:szCs w:val="24"/>
          <w:u w:val="none"/>
          <w:lang w:val="en-US" w:eastAsia="zh-CN"/>
        </w:rPr>
        <w:t>〕</w:t>
      </w:r>
      <w:r>
        <w:rPr>
          <w:rFonts w:hint="eastAsia" w:ascii="宋体" w:hAnsi="宋体" w:eastAsia="宋体" w:cs="Times New Roman"/>
          <w:i w:val="0"/>
          <w:iCs/>
          <w:color w:val="000000"/>
          <w:sz w:val="24"/>
          <w:szCs w:val="24"/>
          <w:u w:val="none"/>
          <w:lang w:val="en-US" w:eastAsia="zh-CN" w:bidi="ar-SA"/>
        </w:rPr>
        <w:t>22号）及《物业管理服务政府采购需求标准（办公场所类）试行》要求，结合项目实际情况，在本次征集服务范围内，可对本项目所列服务内容及标准作必要调整，确定采购需求并明确所需服务人员，自主选配物业管理服务种类，但不得超出实际需要。</w:t>
      </w:r>
    </w:p>
    <w:p w14:paraId="36BDA5E8">
      <w:pPr>
        <w:numPr>
          <w:ilvl w:val="0"/>
          <w:numId w:val="1"/>
        </w:numPr>
        <w:spacing w:line="360" w:lineRule="auto"/>
        <w:ind w:left="0" w:firstLine="482"/>
        <w:rPr>
          <w:rFonts w:hint="eastAsia" w:ascii="宋体" w:hAnsi="宋体" w:eastAsia="宋体" w:cs="Times New Roman"/>
          <w:b/>
          <w:bCs/>
          <w:sz w:val="24"/>
          <w:szCs w:val="24"/>
          <w:lang w:val="en-US" w:eastAsia="zh-CN"/>
        </w:rPr>
      </w:pPr>
      <w:r>
        <w:rPr>
          <w:rFonts w:hint="eastAsia" w:ascii="宋体" w:hAnsi="宋体" w:eastAsia="宋体" w:cs="Times New Roman"/>
          <w:b/>
          <w:bCs/>
          <w:sz w:val="24"/>
          <w:szCs w:val="24"/>
        </w:rPr>
        <w:t>服务</w:t>
      </w:r>
      <w:r>
        <w:rPr>
          <w:rFonts w:hint="eastAsia" w:ascii="宋体" w:hAnsi="宋体" w:eastAsia="宋体" w:cs="Times New Roman"/>
          <w:b/>
          <w:bCs/>
          <w:sz w:val="24"/>
          <w:szCs w:val="24"/>
          <w:lang w:val="en-US" w:eastAsia="zh-CN"/>
        </w:rPr>
        <w:t>要求</w:t>
      </w:r>
    </w:p>
    <w:p w14:paraId="48D378F0">
      <w:pPr>
        <w:numPr>
          <w:ilvl w:val="0"/>
          <w:numId w:val="2"/>
        </w:numPr>
        <w:spacing w:line="360" w:lineRule="auto"/>
        <w:ind w:firstLine="480"/>
        <w:jc w:val="left"/>
        <w:rPr>
          <w:rFonts w:hint="eastAsia" w:ascii="宋体" w:hAnsi="宋体" w:eastAsia="宋体" w:cs="宋体"/>
          <w:b/>
          <w:bCs/>
          <w:color w:val="000000"/>
          <w:sz w:val="24"/>
          <w:szCs w:val="24"/>
          <w:lang w:val="en-US" w:eastAsia="zh-CN"/>
        </w:rPr>
      </w:pPr>
      <w:r>
        <w:rPr>
          <w:rFonts w:hint="eastAsia" w:ascii="宋体" w:hAnsi="宋体" w:eastAsia="宋体" w:cs="宋体"/>
          <w:b/>
          <w:bCs/>
          <w:color w:val="000000"/>
          <w:sz w:val="24"/>
          <w:szCs w:val="24"/>
          <w:lang w:val="en-US" w:eastAsia="zh-CN"/>
        </w:rPr>
        <w:t>基础服务要求</w:t>
      </w:r>
    </w:p>
    <w:tbl>
      <w:tblPr>
        <w:tblStyle w:val="12"/>
        <w:tblW w:w="852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044"/>
        <w:gridCol w:w="7478"/>
      </w:tblGrid>
      <w:tr w14:paraId="32D890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1" w:hRule="atLeast"/>
          <w:tblHeader/>
          <w:jc w:val="center"/>
        </w:trPr>
        <w:tc>
          <w:tcPr>
            <w:tcW w:w="1044" w:type="dxa"/>
            <w:noWrap w:val="0"/>
            <w:vAlign w:val="center"/>
          </w:tcPr>
          <w:p w14:paraId="791B81BA">
            <w:pPr>
              <w:pStyle w:val="11"/>
              <w:snapToGrid w:val="0"/>
              <w:spacing w:before="75" w:line="240" w:lineRule="auto"/>
              <w:ind w:left="0" w:leftChars="0" w:right="0" w:rightChars="0" w:firstLine="0" w:firstLineChars="0"/>
              <w:jc w:val="center"/>
              <w:rPr>
                <w:rFonts w:hint="default" w:eastAsia="宋体"/>
                <w:b/>
                <w:color w:val="auto"/>
                <w:sz w:val="24"/>
                <w:szCs w:val="24"/>
                <w:lang w:val="en-US" w:eastAsia="zh-CN"/>
              </w:rPr>
            </w:pPr>
            <w:r>
              <w:rPr>
                <w:rFonts w:hint="eastAsia"/>
                <w:b/>
                <w:color w:val="auto"/>
                <w:spacing w:val="-3"/>
                <w:sz w:val="24"/>
                <w:szCs w:val="24"/>
                <w:lang w:val="en-US" w:eastAsia="zh-CN"/>
              </w:rPr>
              <w:t>服务内容</w:t>
            </w:r>
          </w:p>
        </w:tc>
        <w:tc>
          <w:tcPr>
            <w:tcW w:w="7478" w:type="dxa"/>
            <w:noWrap w:val="0"/>
            <w:vAlign w:val="center"/>
          </w:tcPr>
          <w:p w14:paraId="40FB222E">
            <w:pPr>
              <w:pStyle w:val="11"/>
              <w:snapToGrid w:val="0"/>
              <w:spacing w:before="75" w:line="240" w:lineRule="auto"/>
              <w:ind w:left="0" w:leftChars="0" w:right="0" w:rightChars="0" w:firstLine="0" w:firstLineChars="0"/>
              <w:jc w:val="center"/>
              <w:rPr>
                <w:b/>
                <w:color w:val="auto"/>
                <w:sz w:val="24"/>
                <w:szCs w:val="24"/>
              </w:rPr>
            </w:pPr>
            <w:r>
              <w:rPr>
                <w:b/>
                <w:color w:val="auto"/>
                <w:spacing w:val="-2"/>
                <w:sz w:val="24"/>
                <w:szCs w:val="24"/>
              </w:rPr>
              <w:t>服务标准</w:t>
            </w:r>
          </w:p>
        </w:tc>
      </w:tr>
      <w:tr w14:paraId="6EBB3A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1044" w:type="dxa"/>
            <w:noWrap w:val="0"/>
            <w:vAlign w:val="center"/>
          </w:tcPr>
          <w:p w14:paraId="07F7CF04">
            <w:pPr>
              <w:snapToGrid w:val="0"/>
              <w:spacing w:line="240" w:lineRule="auto"/>
              <w:ind w:left="0" w:leftChars="0" w:right="0" w:rightChars="0" w:firstLine="0" w:firstLineChars="0"/>
              <w:jc w:val="left"/>
              <w:rPr>
                <w:rFonts w:hint="eastAsia" w:ascii="宋体" w:eastAsia="宋体"/>
                <w:color w:val="auto"/>
                <w:sz w:val="24"/>
                <w:szCs w:val="24"/>
                <w:lang w:val="en-US" w:eastAsia="zh-CN"/>
              </w:rPr>
            </w:pPr>
            <w:r>
              <w:rPr>
                <w:rFonts w:hint="eastAsia" w:ascii="宋体" w:eastAsia="宋体"/>
                <w:color w:val="auto"/>
                <w:sz w:val="24"/>
                <w:szCs w:val="24"/>
                <w:lang w:val="en-US" w:eastAsia="zh-CN"/>
              </w:rPr>
              <w:t>人员管理</w:t>
            </w:r>
          </w:p>
          <w:p w14:paraId="1F88D5E7">
            <w:pPr>
              <w:snapToGrid w:val="0"/>
              <w:spacing w:before="46" w:line="240" w:lineRule="auto"/>
              <w:ind w:left="0" w:leftChars="0" w:right="0" w:rightChars="0" w:firstLine="0" w:firstLineChars="0"/>
              <w:jc w:val="left"/>
              <w:rPr>
                <w:rFonts w:ascii="宋体" w:hAnsi="Calibri" w:eastAsia="宋体" w:cs="Calibri"/>
                <w:color w:val="auto"/>
                <w:sz w:val="24"/>
                <w:szCs w:val="24"/>
              </w:rPr>
            </w:pPr>
          </w:p>
        </w:tc>
        <w:tc>
          <w:tcPr>
            <w:tcW w:w="7478" w:type="dxa"/>
            <w:noWrap w:val="0"/>
            <w:vAlign w:val="center"/>
          </w:tcPr>
          <w:p w14:paraId="6218D4C4">
            <w:pPr>
              <w:pStyle w:val="11"/>
              <w:snapToGrid w:val="0"/>
              <w:spacing w:before="6" w:line="240" w:lineRule="auto"/>
              <w:ind w:left="0" w:leftChars="0" w:right="0" w:rightChars="0" w:firstLine="0" w:firstLineChars="0"/>
              <w:jc w:val="left"/>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rPr>
              <w:t>（1）结合采购人要求及物业服务实际情况，制定年度管理目标，明确责</w:t>
            </w:r>
            <w:r>
              <w:rPr>
                <w:rFonts w:hint="eastAsia" w:ascii="宋体" w:hAnsi="宋体" w:eastAsia="宋体" w:cs="宋体"/>
                <w:color w:val="auto"/>
                <w:spacing w:val="-3"/>
                <w:sz w:val="24"/>
                <w:szCs w:val="24"/>
              </w:rPr>
              <w:t>任分工，并制定配套</w:t>
            </w:r>
            <w:r>
              <w:rPr>
                <w:rFonts w:hint="eastAsia" w:ascii="宋体" w:hAnsi="宋体" w:eastAsia="宋体" w:cs="宋体"/>
                <w:color w:val="auto"/>
                <w:spacing w:val="-2"/>
                <w:sz w:val="24"/>
                <w:szCs w:val="24"/>
              </w:rPr>
              <w:t>实施方案。</w:t>
            </w:r>
          </w:p>
          <w:p w14:paraId="2528DD16">
            <w:pPr>
              <w:pStyle w:val="11"/>
              <w:snapToGrid w:val="0"/>
              <w:spacing w:before="6" w:line="240" w:lineRule="auto"/>
              <w:ind w:left="0" w:leftChars="0" w:right="0" w:rightChars="0" w:firstLine="0" w:firstLineChars="0"/>
              <w:jc w:val="left"/>
              <w:rPr>
                <w:rFonts w:hint="eastAsia" w:ascii="宋体" w:hAnsi="宋体" w:eastAsia="宋体" w:cs="宋体"/>
                <w:color w:val="auto"/>
                <w:sz w:val="24"/>
                <w:szCs w:val="24"/>
              </w:rPr>
            </w:pPr>
            <w:r>
              <w:rPr>
                <w:rFonts w:hint="eastAsia" w:ascii="宋体" w:hAnsi="宋体" w:eastAsia="宋体" w:cs="宋体"/>
                <w:color w:val="auto"/>
                <w:spacing w:val="-2"/>
                <w:sz w:val="24"/>
                <w:szCs w:val="24"/>
              </w:rPr>
              <w:t>（</w:t>
            </w:r>
            <w:r>
              <w:rPr>
                <w:rFonts w:hint="eastAsia" w:ascii="宋体" w:hAnsi="宋体" w:eastAsia="宋体" w:cs="宋体"/>
                <w:color w:val="auto"/>
                <w:spacing w:val="-2"/>
                <w:sz w:val="24"/>
                <w:szCs w:val="24"/>
                <w:lang w:val="en-US" w:eastAsia="zh-CN"/>
              </w:rPr>
              <w:t>2</w:t>
            </w:r>
            <w:r>
              <w:rPr>
                <w:rFonts w:hint="eastAsia" w:ascii="宋体" w:hAnsi="宋体" w:eastAsia="宋体" w:cs="宋体"/>
                <w:color w:val="auto"/>
                <w:spacing w:val="-2"/>
                <w:sz w:val="24"/>
                <w:szCs w:val="24"/>
              </w:rPr>
              <w:t>）每季度至少开展1次岗位技能、职业素质、服务知识、客户文化、</w:t>
            </w:r>
            <w:r>
              <w:rPr>
                <w:rFonts w:hint="eastAsia" w:ascii="宋体" w:hAnsi="宋体" w:eastAsia="宋体" w:cs="宋体"/>
                <w:color w:val="auto"/>
                <w:spacing w:val="-3"/>
                <w:sz w:val="24"/>
                <w:szCs w:val="24"/>
              </w:rPr>
              <w:t>绿色节能环保等教育</w:t>
            </w:r>
            <w:r>
              <w:rPr>
                <w:rFonts w:hint="eastAsia" w:ascii="宋体" w:hAnsi="宋体" w:eastAsia="宋体" w:cs="宋体"/>
                <w:color w:val="auto"/>
                <w:spacing w:val="-1"/>
                <w:sz w:val="24"/>
                <w:szCs w:val="24"/>
              </w:rPr>
              <w:t>培训，并进行适当形式的考核。</w:t>
            </w:r>
          </w:p>
          <w:p w14:paraId="71CED506">
            <w:pPr>
              <w:pStyle w:val="11"/>
              <w:snapToGrid w:val="0"/>
              <w:spacing w:before="6" w:line="240" w:lineRule="auto"/>
              <w:ind w:left="0" w:leftChars="0" w:right="0" w:rightChars="0" w:firstLine="0" w:firstLineChars="0"/>
              <w:jc w:val="left"/>
              <w:rPr>
                <w:rFonts w:hint="eastAsia" w:ascii="宋体" w:hAnsi="宋体" w:eastAsia="宋体" w:cs="宋体"/>
                <w:color w:val="auto"/>
                <w:sz w:val="24"/>
                <w:szCs w:val="24"/>
              </w:rPr>
            </w:pPr>
            <w:r>
              <w:rPr>
                <w:rFonts w:hint="eastAsia" w:ascii="宋体" w:hAnsi="宋体" w:eastAsia="宋体" w:cs="宋体"/>
                <w:color w:val="auto"/>
                <w:spacing w:val="-2"/>
                <w:sz w:val="24"/>
                <w:szCs w:val="24"/>
              </w:rPr>
              <w:t>（3）服务人员的年龄、学历、工作经验及资格条件应当与所在岗位能力</w:t>
            </w:r>
            <w:r>
              <w:rPr>
                <w:rFonts w:hint="eastAsia" w:ascii="宋体" w:hAnsi="宋体" w:eastAsia="宋体" w:cs="宋体"/>
                <w:color w:val="auto"/>
                <w:spacing w:val="-3"/>
                <w:sz w:val="24"/>
                <w:szCs w:val="24"/>
              </w:rPr>
              <w:t>要求相匹配，到岗前</w:t>
            </w:r>
            <w:r>
              <w:rPr>
                <w:rFonts w:hint="eastAsia" w:ascii="宋体" w:hAnsi="宋体" w:eastAsia="宋体" w:cs="宋体"/>
                <w:color w:val="auto"/>
                <w:spacing w:val="-1"/>
                <w:sz w:val="24"/>
                <w:szCs w:val="24"/>
              </w:rPr>
              <w:t>应当经过必要的岗前培训以达到岗位能力要求，国家、行业规定应当取得职业资格证书或特种作业证书的，应当按规定持证上岗。</w:t>
            </w:r>
          </w:p>
          <w:p w14:paraId="43169F40">
            <w:pPr>
              <w:pStyle w:val="11"/>
              <w:snapToGrid w:val="0"/>
              <w:spacing w:before="6" w:line="240" w:lineRule="auto"/>
              <w:ind w:left="0" w:leftChars="0" w:right="0" w:rightChars="0" w:firstLine="0" w:firstLineChars="0"/>
              <w:jc w:val="left"/>
              <w:rPr>
                <w:rFonts w:hint="eastAsia" w:ascii="宋体" w:hAnsi="宋体" w:eastAsia="宋体" w:cs="宋体"/>
                <w:color w:val="auto"/>
                <w:sz w:val="24"/>
                <w:szCs w:val="24"/>
              </w:rPr>
            </w:pPr>
            <w:r>
              <w:rPr>
                <w:rFonts w:hint="eastAsia" w:ascii="宋体" w:hAnsi="宋体" w:eastAsia="宋体" w:cs="宋体"/>
                <w:color w:val="auto"/>
                <w:spacing w:val="-2"/>
                <w:sz w:val="24"/>
                <w:szCs w:val="24"/>
              </w:rPr>
              <w:t>（4）如采购人认为服务人员不适应岗位要求或存在其他影响工作的</w:t>
            </w:r>
            <w:r>
              <w:rPr>
                <w:rFonts w:hint="eastAsia" w:ascii="宋体" w:hAnsi="宋体" w:eastAsia="宋体" w:cs="宋体"/>
                <w:color w:val="auto"/>
                <w:spacing w:val="-3"/>
                <w:sz w:val="24"/>
                <w:szCs w:val="24"/>
              </w:rPr>
              <w:t>，可要求供应商进行调</w:t>
            </w:r>
            <w:r>
              <w:rPr>
                <w:rFonts w:hint="eastAsia" w:ascii="宋体" w:hAnsi="宋体" w:eastAsia="宋体" w:cs="宋体"/>
                <w:color w:val="auto"/>
                <w:spacing w:val="-1"/>
                <w:sz w:val="24"/>
                <w:szCs w:val="24"/>
              </w:rPr>
              <w:t>换。如因供应商原因对服务人员进行调换，应当经采购人同意，更换比例不得超过本项目服务人员</w:t>
            </w:r>
            <w:r>
              <w:rPr>
                <w:rFonts w:hint="eastAsia" w:ascii="宋体" w:hAnsi="宋体" w:eastAsia="宋体" w:cs="宋体"/>
                <w:color w:val="auto"/>
                <w:spacing w:val="-2"/>
                <w:sz w:val="24"/>
                <w:szCs w:val="24"/>
              </w:rPr>
              <w:t>总数的20%。本项目服务人员不得在其他项目兼职。</w:t>
            </w:r>
          </w:p>
          <w:p w14:paraId="657CFED1">
            <w:pPr>
              <w:pStyle w:val="11"/>
              <w:snapToGrid w:val="0"/>
              <w:spacing w:before="6" w:line="240" w:lineRule="auto"/>
              <w:ind w:left="0" w:leftChars="0" w:right="0" w:rightChars="0" w:firstLine="0" w:firstLineChars="0"/>
              <w:jc w:val="left"/>
              <w:rPr>
                <w:rFonts w:hint="eastAsia" w:ascii="宋体" w:hAnsi="宋体" w:eastAsia="宋体" w:cs="宋体"/>
                <w:color w:val="auto"/>
                <w:sz w:val="24"/>
                <w:szCs w:val="24"/>
              </w:rPr>
            </w:pPr>
            <w:r>
              <w:rPr>
                <w:rFonts w:hint="eastAsia" w:ascii="宋体" w:hAnsi="宋体" w:eastAsia="宋体" w:cs="宋体"/>
                <w:color w:val="auto"/>
                <w:spacing w:val="-2"/>
                <w:sz w:val="24"/>
                <w:szCs w:val="24"/>
              </w:rPr>
              <w:t>（5）着装分类统一，佩戴标识。仪容整洁、姿态端正、举止文明。用语</w:t>
            </w:r>
            <w:r>
              <w:rPr>
                <w:rFonts w:hint="eastAsia" w:ascii="宋体" w:hAnsi="宋体" w:eastAsia="宋体" w:cs="宋体"/>
                <w:color w:val="auto"/>
                <w:spacing w:val="-3"/>
                <w:sz w:val="24"/>
                <w:szCs w:val="24"/>
              </w:rPr>
              <w:t>文明礼貌，态度温和耐心。</w:t>
            </w:r>
          </w:p>
          <w:p w14:paraId="7D08B29B">
            <w:pPr>
              <w:pStyle w:val="11"/>
              <w:snapToGrid w:val="0"/>
              <w:spacing w:line="240" w:lineRule="auto"/>
              <w:ind w:left="0" w:leftChars="0" w:right="0" w:rightChars="0" w:firstLine="0" w:firstLineChars="0"/>
              <w:jc w:val="left"/>
              <w:rPr>
                <w:rFonts w:hint="eastAsia" w:ascii="宋体" w:hAnsi="宋体" w:eastAsia="宋体" w:cs="宋体"/>
                <w:color w:val="auto"/>
                <w:sz w:val="24"/>
                <w:szCs w:val="24"/>
              </w:rPr>
            </w:pPr>
            <w:r>
              <w:rPr>
                <w:rFonts w:hint="eastAsia" w:ascii="宋体" w:hAnsi="宋体" w:eastAsia="宋体" w:cs="宋体"/>
                <w:color w:val="auto"/>
                <w:spacing w:val="-2"/>
                <w:sz w:val="24"/>
                <w:szCs w:val="24"/>
              </w:rPr>
              <w:t>（</w:t>
            </w:r>
            <w:r>
              <w:rPr>
                <w:rFonts w:hint="eastAsia" w:ascii="宋体" w:hAnsi="宋体" w:eastAsia="宋体" w:cs="宋体"/>
                <w:color w:val="auto"/>
                <w:spacing w:val="-2"/>
                <w:sz w:val="24"/>
                <w:szCs w:val="24"/>
                <w:lang w:val="en-US" w:eastAsia="zh-CN"/>
              </w:rPr>
              <w:t>6</w:t>
            </w:r>
            <w:r>
              <w:rPr>
                <w:rFonts w:hint="eastAsia" w:ascii="宋体" w:hAnsi="宋体" w:eastAsia="宋体" w:cs="宋体"/>
                <w:color w:val="auto"/>
                <w:spacing w:val="-2"/>
                <w:sz w:val="24"/>
                <w:szCs w:val="24"/>
              </w:rPr>
              <w:t>）建立保密管理制度。制度内容应当包括但不限于：①明确重点要</w:t>
            </w:r>
            <w:r>
              <w:rPr>
                <w:rFonts w:hint="eastAsia" w:ascii="宋体" w:hAnsi="宋体" w:eastAsia="宋体" w:cs="宋体"/>
                <w:color w:val="auto"/>
                <w:spacing w:val="-3"/>
                <w:sz w:val="24"/>
                <w:szCs w:val="24"/>
              </w:rPr>
              <w:t>害岗位保密职责。②</w:t>
            </w:r>
            <w:r>
              <w:rPr>
                <w:rFonts w:hint="eastAsia" w:ascii="宋体" w:hAnsi="宋体" w:eastAsia="宋体" w:cs="宋体"/>
                <w:color w:val="auto"/>
                <w:spacing w:val="-1"/>
                <w:sz w:val="24"/>
                <w:szCs w:val="24"/>
              </w:rPr>
              <w:t>对涉密工作岗位的保密要求。</w:t>
            </w:r>
          </w:p>
        </w:tc>
      </w:tr>
      <w:tr w14:paraId="7E2A20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1044" w:type="dxa"/>
            <w:tcBorders>
              <w:top w:val="nil"/>
            </w:tcBorders>
            <w:noWrap w:val="0"/>
            <w:vAlign w:val="center"/>
          </w:tcPr>
          <w:p w14:paraId="15A64E46">
            <w:pPr>
              <w:snapToGrid w:val="0"/>
              <w:ind w:left="0" w:leftChars="0" w:right="0" w:rightChars="0" w:firstLine="0" w:firstLineChars="0"/>
              <w:jc w:val="left"/>
              <w:rPr>
                <w:rFonts w:hint="default" w:ascii="宋体" w:eastAsia="宋体"/>
                <w:color w:val="auto"/>
                <w:sz w:val="24"/>
                <w:szCs w:val="24"/>
                <w:lang w:val="en-US" w:eastAsia="zh-CN"/>
              </w:rPr>
            </w:pPr>
            <w:r>
              <w:rPr>
                <w:rFonts w:hint="eastAsia" w:ascii="宋体" w:hAnsi="Calibri" w:eastAsia="宋体" w:cs="Calibri"/>
                <w:color w:val="auto"/>
                <w:sz w:val="24"/>
                <w:szCs w:val="24"/>
                <w:lang w:val="en-US" w:eastAsia="zh-CN"/>
              </w:rPr>
              <w:t>工作交接及档案管理</w:t>
            </w:r>
          </w:p>
        </w:tc>
        <w:tc>
          <w:tcPr>
            <w:tcW w:w="7478" w:type="dxa"/>
            <w:noWrap w:val="0"/>
            <w:vAlign w:val="center"/>
          </w:tcPr>
          <w:p w14:paraId="78F634C1">
            <w:pPr>
              <w:pStyle w:val="11"/>
              <w:snapToGrid w:val="0"/>
              <w:spacing w:before="6" w:line="240" w:lineRule="auto"/>
              <w:ind w:left="0" w:leftChars="0" w:right="0" w:rightChars="0" w:firstLine="0" w:firstLineChars="0"/>
              <w:jc w:val="left"/>
              <w:rPr>
                <w:rFonts w:hint="eastAsia" w:ascii="宋体" w:hAnsi="宋体" w:eastAsia="宋体" w:cs="宋体"/>
                <w:color w:val="auto"/>
                <w:spacing w:val="-3"/>
                <w:sz w:val="24"/>
                <w:szCs w:val="24"/>
              </w:rPr>
            </w:pPr>
            <w:r>
              <w:rPr>
                <w:rFonts w:hint="eastAsia" w:ascii="宋体" w:hAnsi="宋体" w:eastAsia="宋体" w:cs="宋体"/>
                <w:color w:val="auto"/>
                <w:spacing w:val="-2"/>
                <w:sz w:val="24"/>
                <w:szCs w:val="24"/>
              </w:rPr>
              <w:t>（1）建立物业信息，准确、及时地对文件资料和服务记录进行归档</w:t>
            </w:r>
            <w:r>
              <w:rPr>
                <w:rFonts w:hint="eastAsia" w:ascii="宋体" w:hAnsi="宋体" w:eastAsia="宋体" w:cs="宋体"/>
                <w:color w:val="auto"/>
                <w:spacing w:val="-3"/>
                <w:sz w:val="24"/>
                <w:szCs w:val="24"/>
              </w:rPr>
              <w:t>保存，并确保其物理安全。</w:t>
            </w:r>
          </w:p>
          <w:p w14:paraId="537C0EA9">
            <w:pPr>
              <w:pStyle w:val="11"/>
              <w:snapToGrid w:val="0"/>
              <w:spacing w:before="71" w:line="240" w:lineRule="auto"/>
              <w:ind w:left="0" w:leftChars="0" w:right="0" w:rightChars="0" w:firstLine="0" w:firstLineChars="0"/>
              <w:jc w:val="left"/>
              <w:rPr>
                <w:rFonts w:hint="eastAsia" w:ascii="宋体" w:hAnsi="宋体" w:eastAsia="宋体" w:cs="宋体"/>
                <w:color w:val="auto"/>
                <w:spacing w:val="-8"/>
                <w:sz w:val="24"/>
                <w:szCs w:val="24"/>
              </w:rPr>
            </w:pPr>
            <w:r>
              <w:rPr>
                <w:rFonts w:hint="eastAsia" w:ascii="宋体" w:hAnsi="宋体" w:eastAsia="宋体" w:cs="宋体"/>
                <w:color w:val="auto"/>
                <w:spacing w:val="-2"/>
                <w:sz w:val="24"/>
                <w:szCs w:val="24"/>
              </w:rPr>
              <w:t>（2）档案和记录齐全，包括但不限于：①采购人建议与投诉等。教</w:t>
            </w:r>
            <w:r>
              <w:rPr>
                <w:rFonts w:hint="eastAsia" w:ascii="宋体" w:hAnsi="宋体" w:eastAsia="宋体" w:cs="宋体"/>
                <w:color w:val="auto"/>
                <w:spacing w:val="-3"/>
                <w:sz w:val="24"/>
                <w:szCs w:val="24"/>
              </w:rPr>
              <w:t>育培训和考核记录。保</w:t>
            </w:r>
            <w:r>
              <w:rPr>
                <w:rFonts w:hint="eastAsia" w:ascii="宋体" w:hAnsi="宋体" w:eastAsia="宋体" w:cs="宋体"/>
                <w:color w:val="auto"/>
                <w:sz w:val="24"/>
                <w:szCs w:val="24"/>
              </w:rPr>
              <w:t>密、思想政治教育培训记录。②房屋维护服务：房屋台账、使用说明、房屋装修、维保记</w:t>
            </w:r>
            <w:r>
              <w:rPr>
                <w:rFonts w:hint="eastAsia" w:ascii="宋体" w:hAnsi="宋体" w:eastAsia="宋体" w:cs="宋体"/>
                <w:color w:val="auto"/>
                <w:spacing w:val="-1"/>
                <w:sz w:val="24"/>
                <w:szCs w:val="24"/>
              </w:rPr>
              <w:t>录等。</w:t>
            </w:r>
            <w:r>
              <w:rPr>
                <w:rFonts w:hint="eastAsia" w:ascii="宋体" w:hAnsi="宋体" w:eastAsia="宋体" w:cs="宋体"/>
                <w:color w:val="auto"/>
                <w:sz w:val="24"/>
                <w:szCs w:val="24"/>
              </w:rPr>
              <w:t>③公用设施设备维护服务：设备台账、设备</w:t>
            </w:r>
            <w:r>
              <w:rPr>
                <w:rFonts w:hint="eastAsia" w:ascii="宋体" w:hAnsi="宋体" w:eastAsia="宋体" w:cs="宋体"/>
                <w:color w:val="auto"/>
                <w:spacing w:val="-1"/>
                <w:sz w:val="24"/>
                <w:szCs w:val="24"/>
              </w:rPr>
              <w:t>卡、使用说明、维保记录、巡查记录、设施设备安全</w:t>
            </w:r>
            <w:r>
              <w:rPr>
                <w:rFonts w:hint="eastAsia" w:ascii="宋体" w:hAnsi="宋体" w:eastAsia="宋体" w:cs="宋体"/>
                <w:color w:val="auto"/>
                <w:sz w:val="24"/>
                <w:szCs w:val="24"/>
              </w:rPr>
              <w:t>运行、设施设备定期巡检、维护保养、维修</w:t>
            </w:r>
            <w:r>
              <w:rPr>
                <w:rFonts w:hint="eastAsia" w:ascii="宋体" w:hAnsi="宋体" w:eastAsia="宋体" w:cs="宋体"/>
                <w:color w:val="auto"/>
                <w:spacing w:val="-1"/>
                <w:sz w:val="24"/>
                <w:szCs w:val="24"/>
              </w:rPr>
              <w:t>档案等。④</w:t>
            </w:r>
            <w:r>
              <w:rPr>
                <w:rFonts w:hint="eastAsia" w:ascii="宋体" w:eastAsia="宋体" w:cs="宋体"/>
                <w:color w:val="auto"/>
                <w:spacing w:val="-1"/>
                <w:sz w:val="24"/>
                <w:szCs w:val="24"/>
                <w:lang w:val="en-US" w:eastAsia="zh-CN"/>
              </w:rPr>
              <w:t>秩序维护</w:t>
            </w:r>
            <w:r>
              <w:rPr>
                <w:rFonts w:hint="eastAsia" w:ascii="宋体" w:hAnsi="宋体" w:eastAsia="宋体" w:cs="宋体"/>
                <w:color w:val="auto"/>
                <w:spacing w:val="-1"/>
                <w:sz w:val="24"/>
                <w:szCs w:val="24"/>
              </w:rPr>
              <w:t>服务：监控记录、突发事件演习与处</w:t>
            </w:r>
            <w:r>
              <w:rPr>
                <w:rFonts w:hint="eastAsia" w:ascii="宋体" w:hAnsi="宋体" w:eastAsia="宋体" w:cs="宋体"/>
                <w:color w:val="auto"/>
                <w:sz w:val="24"/>
                <w:szCs w:val="24"/>
              </w:rPr>
              <w:t>置记录</w:t>
            </w:r>
            <w:r>
              <w:rPr>
                <w:rFonts w:hint="eastAsia" w:ascii="宋体" w:hAnsi="宋体" w:eastAsia="宋体" w:cs="宋体"/>
                <w:color w:val="auto"/>
                <w:spacing w:val="-1"/>
                <w:sz w:val="24"/>
                <w:szCs w:val="24"/>
              </w:rPr>
              <w:t>总平面图、清洁整改记录、消杀记录等。⑦其他：客户信息、财务明细、合同协议、信报信息登记、大件物品进出登记等。</w:t>
            </w:r>
          </w:p>
          <w:p w14:paraId="27503ABA">
            <w:pPr>
              <w:pStyle w:val="11"/>
              <w:snapToGrid w:val="0"/>
              <w:spacing w:before="71" w:line="240" w:lineRule="auto"/>
              <w:ind w:left="0" w:leftChars="0" w:right="0" w:rightChars="0" w:firstLine="0" w:firstLineChars="0"/>
              <w:jc w:val="left"/>
              <w:rPr>
                <w:rFonts w:hint="eastAsia" w:ascii="宋体" w:hAnsi="宋体" w:eastAsia="宋体" w:cs="宋体"/>
                <w:color w:val="auto"/>
                <w:spacing w:val="-8"/>
                <w:sz w:val="24"/>
                <w:szCs w:val="24"/>
              </w:rPr>
            </w:pPr>
            <w:r>
              <w:rPr>
                <w:rFonts w:hint="eastAsia" w:ascii="宋体" w:hAnsi="宋体" w:eastAsia="宋体" w:cs="宋体"/>
                <w:color w:val="auto"/>
                <w:spacing w:val="-2"/>
                <w:sz w:val="24"/>
                <w:szCs w:val="24"/>
              </w:rPr>
              <w:t>（3）遵守采购人的信息、档案资料保密要求，未经许可，不得将建筑物平</w:t>
            </w:r>
            <w:r>
              <w:rPr>
                <w:rFonts w:hint="eastAsia" w:ascii="宋体" w:hAnsi="宋体" w:eastAsia="宋体" w:cs="宋体"/>
                <w:color w:val="auto"/>
                <w:spacing w:val="-3"/>
                <w:sz w:val="24"/>
                <w:szCs w:val="24"/>
              </w:rPr>
              <w:t>面图等资料转作其</w:t>
            </w:r>
            <w:r>
              <w:rPr>
                <w:rFonts w:hint="eastAsia" w:ascii="宋体" w:hAnsi="宋体" w:eastAsia="宋体" w:cs="宋体"/>
                <w:color w:val="auto"/>
                <w:spacing w:val="-1"/>
                <w:sz w:val="24"/>
                <w:szCs w:val="24"/>
              </w:rPr>
              <w:t>他用途或向其他单位、个人提供。</w:t>
            </w:r>
          </w:p>
          <w:p w14:paraId="5EA05599">
            <w:pPr>
              <w:pStyle w:val="11"/>
              <w:snapToGrid w:val="0"/>
              <w:spacing w:before="71" w:line="240" w:lineRule="auto"/>
              <w:ind w:left="0" w:leftChars="0" w:right="0" w:rightChars="0" w:firstLine="0" w:firstLineChars="0"/>
              <w:jc w:val="left"/>
              <w:rPr>
                <w:rFonts w:hint="eastAsia" w:ascii="宋体" w:hAnsi="宋体" w:eastAsia="宋体" w:cs="宋体"/>
                <w:color w:val="auto"/>
                <w:spacing w:val="-3"/>
                <w:sz w:val="24"/>
                <w:szCs w:val="24"/>
              </w:rPr>
            </w:pPr>
            <w:r>
              <w:rPr>
                <w:rFonts w:hint="eastAsia" w:ascii="宋体" w:hAnsi="宋体" w:eastAsia="宋体" w:cs="宋体"/>
                <w:color w:val="auto"/>
                <w:spacing w:val="-3"/>
                <w:sz w:val="24"/>
                <w:szCs w:val="24"/>
              </w:rPr>
              <w:t>（4）履约结束后，相关资料交还采购人，采购人按政府采购相关规定存档。</w:t>
            </w:r>
          </w:p>
          <w:p w14:paraId="536A86FB">
            <w:pPr>
              <w:pStyle w:val="11"/>
              <w:snapToGrid w:val="0"/>
              <w:spacing w:before="71" w:line="240" w:lineRule="auto"/>
              <w:ind w:left="0" w:leftChars="0" w:right="0" w:rightChars="0" w:firstLine="0" w:firstLineChars="0"/>
              <w:jc w:val="left"/>
              <w:rPr>
                <w:rFonts w:hint="eastAsia" w:ascii="宋体" w:hAnsi="宋体" w:eastAsia="宋体" w:cs="宋体"/>
                <w:color w:val="auto"/>
                <w:spacing w:val="-3"/>
                <w:sz w:val="24"/>
                <w:szCs w:val="24"/>
                <w:lang w:val="en-US" w:eastAsia="zh-CN"/>
              </w:rPr>
            </w:pPr>
            <w:r>
              <w:rPr>
                <w:rFonts w:hint="eastAsia" w:ascii="宋体" w:hAnsi="宋体" w:eastAsia="宋体" w:cs="宋体"/>
                <w:color w:val="auto"/>
                <w:spacing w:val="-3"/>
                <w:sz w:val="24"/>
                <w:szCs w:val="24"/>
                <w:lang w:eastAsia="zh-CN"/>
              </w:rPr>
              <w:t>（</w:t>
            </w:r>
            <w:r>
              <w:rPr>
                <w:rFonts w:hint="eastAsia" w:ascii="宋体" w:hAnsi="宋体" w:eastAsia="宋体" w:cs="宋体"/>
                <w:color w:val="auto"/>
                <w:spacing w:val="-3"/>
                <w:sz w:val="24"/>
                <w:szCs w:val="24"/>
                <w:lang w:val="en-US" w:eastAsia="zh-CN"/>
              </w:rPr>
              <w:t>5</w:t>
            </w:r>
            <w:r>
              <w:rPr>
                <w:rFonts w:hint="eastAsia" w:ascii="宋体" w:hAnsi="宋体" w:eastAsia="宋体" w:cs="宋体"/>
                <w:color w:val="auto"/>
                <w:spacing w:val="-3"/>
                <w:sz w:val="24"/>
                <w:szCs w:val="24"/>
                <w:lang w:eastAsia="zh-CN"/>
              </w:rPr>
              <w:t>）</w:t>
            </w:r>
            <w:r>
              <w:rPr>
                <w:rFonts w:hint="eastAsia" w:ascii="宋体" w:hAnsi="宋体" w:eastAsia="宋体" w:cs="宋体"/>
                <w:color w:val="auto"/>
                <w:spacing w:val="-3"/>
                <w:sz w:val="24"/>
                <w:szCs w:val="24"/>
                <w:lang w:val="en-US" w:eastAsia="zh-CN"/>
              </w:rPr>
              <w:t>配合采购人完成物业的交接工作，确保服务的连续性。</w:t>
            </w:r>
          </w:p>
        </w:tc>
      </w:tr>
    </w:tbl>
    <w:p w14:paraId="17C4481E">
      <w:pPr>
        <w:pStyle w:val="10"/>
        <w:numPr>
          <w:ilvl w:val="0"/>
          <w:numId w:val="0"/>
        </w:numPr>
        <w:rPr>
          <w:rFonts w:hint="default"/>
          <w:sz w:val="24"/>
          <w:szCs w:val="24"/>
          <w:lang w:val="en-US" w:eastAsia="zh-CN"/>
        </w:rPr>
      </w:pPr>
    </w:p>
    <w:p w14:paraId="01EACE75">
      <w:pPr>
        <w:numPr>
          <w:ilvl w:val="0"/>
          <w:numId w:val="2"/>
        </w:numPr>
        <w:spacing w:line="360" w:lineRule="auto"/>
        <w:ind w:left="0" w:firstLine="480"/>
        <w:rPr>
          <w:rFonts w:hint="eastAsia" w:ascii="宋体" w:hAnsi="宋体" w:eastAsia="宋体" w:cs="Times New Roman"/>
          <w:b/>
          <w:bCs/>
          <w:sz w:val="24"/>
          <w:szCs w:val="24"/>
          <w:lang w:val="en-US" w:eastAsia="zh-CN"/>
        </w:rPr>
      </w:pPr>
      <w:r>
        <w:rPr>
          <w:rFonts w:hint="eastAsia" w:ascii="宋体" w:hAnsi="宋体" w:eastAsia="宋体" w:cs="Times New Roman"/>
          <w:b/>
          <w:bCs/>
          <w:sz w:val="24"/>
          <w:szCs w:val="24"/>
          <w:lang w:val="en-US" w:eastAsia="zh-CN"/>
        </w:rPr>
        <w:t>房屋及公共设施的维修、维护</w:t>
      </w:r>
    </w:p>
    <w:tbl>
      <w:tblPr>
        <w:tblStyle w:val="12"/>
        <w:tblpPr w:leftFromText="180" w:rightFromText="180" w:vertAnchor="text" w:horzAnchor="page" w:tblpXSpec="center" w:tblpY="458"/>
        <w:tblW w:w="845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0"/>
        <w:gridCol w:w="7409"/>
      </w:tblGrid>
      <w:tr w14:paraId="57F10B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7" w:hRule="atLeast"/>
          <w:jc w:val="center"/>
        </w:trPr>
        <w:tc>
          <w:tcPr>
            <w:tcW w:w="1050" w:type="dxa"/>
            <w:noWrap w:val="0"/>
            <w:vAlign w:val="center"/>
          </w:tcPr>
          <w:p w14:paraId="484C8F80">
            <w:pPr>
              <w:pStyle w:val="11"/>
              <w:snapToGrid w:val="0"/>
              <w:spacing w:before="75" w:line="240" w:lineRule="auto"/>
              <w:ind w:left="0" w:leftChars="0" w:right="0" w:rightChars="0" w:firstLine="0" w:firstLineChars="0"/>
              <w:jc w:val="center"/>
              <w:rPr>
                <w:rFonts w:hint="default"/>
                <w:b/>
                <w:color w:val="auto"/>
                <w:spacing w:val="-3"/>
                <w:sz w:val="24"/>
                <w:szCs w:val="24"/>
                <w:lang w:val="en-US" w:eastAsia="zh-CN"/>
              </w:rPr>
            </w:pPr>
            <w:r>
              <w:rPr>
                <w:rFonts w:hint="eastAsia"/>
                <w:b/>
                <w:color w:val="auto"/>
                <w:spacing w:val="-3"/>
                <w:sz w:val="24"/>
                <w:szCs w:val="24"/>
                <w:lang w:val="en-US" w:eastAsia="zh-CN"/>
              </w:rPr>
              <w:t>服务内容</w:t>
            </w:r>
          </w:p>
        </w:tc>
        <w:tc>
          <w:tcPr>
            <w:tcW w:w="7409" w:type="dxa"/>
            <w:noWrap w:val="0"/>
            <w:vAlign w:val="center"/>
          </w:tcPr>
          <w:p w14:paraId="68BA2065">
            <w:pPr>
              <w:pStyle w:val="11"/>
              <w:snapToGrid w:val="0"/>
              <w:spacing w:before="75" w:line="240" w:lineRule="auto"/>
              <w:ind w:left="0" w:leftChars="0" w:right="0" w:rightChars="0" w:firstLine="0" w:firstLineChars="0"/>
              <w:jc w:val="center"/>
              <w:rPr>
                <w:rFonts w:hint="eastAsia"/>
                <w:b/>
                <w:color w:val="auto"/>
                <w:spacing w:val="-3"/>
                <w:sz w:val="24"/>
                <w:szCs w:val="24"/>
                <w:lang w:val="en-US" w:eastAsia="zh-CN"/>
              </w:rPr>
            </w:pPr>
            <w:r>
              <w:rPr>
                <w:rFonts w:hint="eastAsia"/>
                <w:b/>
                <w:color w:val="auto"/>
                <w:spacing w:val="-3"/>
                <w:sz w:val="24"/>
                <w:szCs w:val="24"/>
                <w:lang w:val="en-US" w:eastAsia="zh-CN"/>
              </w:rPr>
              <w:t>服务标准</w:t>
            </w:r>
          </w:p>
        </w:tc>
      </w:tr>
      <w:tr w14:paraId="4B3A1D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1" w:hRule="atLeast"/>
          <w:jc w:val="center"/>
        </w:trPr>
        <w:tc>
          <w:tcPr>
            <w:tcW w:w="1050" w:type="dxa"/>
            <w:noWrap w:val="0"/>
            <w:vAlign w:val="top"/>
          </w:tcPr>
          <w:p w14:paraId="7361A8B1">
            <w:pPr>
              <w:pStyle w:val="11"/>
              <w:snapToGrid w:val="0"/>
              <w:spacing w:before="75" w:line="240" w:lineRule="auto"/>
              <w:ind w:left="0" w:leftChars="0" w:right="0" w:rightChars="0" w:firstLine="0" w:firstLineChars="0"/>
              <w:jc w:val="center"/>
              <w:rPr>
                <w:rFonts w:hint="eastAsia"/>
                <w:b w:val="0"/>
                <w:bCs/>
                <w:color w:val="auto"/>
                <w:spacing w:val="-3"/>
                <w:sz w:val="24"/>
                <w:szCs w:val="24"/>
                <w:lang w:val="en-US" w:eastAsia="zh-CN"/>
              </w:rPr>
            </w:pPr>
          </w:p>
          <w:p w14:paraId="6D3BE970">
            <w:pPr>
              <w:pStyle w:val="11"/>
              <w:snapToGrid w:val="0"/>
              <w:spacing w:before="75" w:line="240" w:lineRule="auto"/>
              <w:ind w:left="0" w:leftChars="0" w:right="0" w:rightChars="0" w:firstLine="0" w:firstLineChars="0"/>
              <w:jc w:val="center"/>
              <w:rPr>
                <w:rFonts w:hint="eastAsia"/>
                <w:b w:val="0"/>
                <w:bCs/>
                <w:color w:val="auto"/>
                <w:spacing w:val="-3"/>
                <w:sz w:val="24"/>
                <w:szCs w:val="24"/>
                <w:lang w:val="en-US" w:eastAsia="zh-CN"/>
              </w:rPr>
            </w:pPr>
          </w:p>
          <w:p w14:paraId="569E41BA">
            <w:pPr>
              <w:pStyle w:val="11"/>
              <w:snapToGrid w:val="0"/>
              <w:spacing w:before="75" w:line="240" w:lineRule="auto"/>
              <w:ind w:left="0" w:leftChars="0" w:right="0" w:rightChars="0" w:firstLine="0" w:firstLineChars="0"/>
              <w:jc w:val="center"/>
              <w:rPr>
                <w:rFonts w:hint="eastAsia"/>
                <w:b w:val="0"/>
                <w:bCs/>
                <w:color w:val="auto"/>
                <w:spacing w:val="-3"/>
                <w:sz w:val="24"/>
                <w:szCs w:val="24"/>
                <w:lang w:val="en-US" w:eastAsia="zh-CN"/>
              </w:rPr>
            </w:pPr>
          </w:p>
          <w:p w14:paraId="561090AA">
            <w:pPr>
              <w:pStyle w:val="11"/>
              <w:snapToGrid w:val="0"/>
              <w:spacing w:before="75" w:line="240" w:lineRule="auto"/>
              <w:ind w:left="0" w:leftChars="0" w:right="0" w:rightChars="0" w:firstLine="0" w:firstLineChars="0"/>
              <w:jc w:val="center"/>
              <w:rPr>
                <w:rFonts w:hint="eastAsia"/>
                <w:b w:val="0"/>
                <w:bCs/>
                <w:color w:val="auto"/>
                <w:spacing w:val="-3"/>
                <w:sz w:val="24"/>
                <w:szCs w:val="24"/>
                <w:lang w:val="en-US" w:eastAsia="zh-CN"/>
              </w:rPr>
            </w:pPr>
            <w:r>
              <w:rPr>
                <w:rFonts w:hint="eastAsia"/>
                <w:b w:val="0"/>
                <w:bCs/>
                <w:color w:val="auto"/>
                <w:spacing w:val="-3"/>
                <w:sz w:val="24"/>
                <w:szCs w:val="24"/>
                <w:lang w:val="en-US" w:eastAsia="zh-CN"/>
              </w:rPr>
              <w:t>房屋维护</w:t>
            </w:r>
          </w:p>
          <w:p w14:paraId="0AD18DDA">
            <w:pPr>
              <w:pStyle w:val="11"/>
              <w:snapToGrid w:val="0"/>
              <w:spacing w:before="75" w:line="240" w:lineRule="auto"/>
              <w:ind w:left="0" w:leftChars="0" w:right="0" w:rightChars="0" w:firstLine="0" w:firstLineChars="0"/>
              <w:jc w:val="center"/>
              <w:rPr>
                <w:rFonts w:hint="eastAsia"/>
                <w:b w:val="0"/>
                <w:bCs/>
                <w:color w:val="auto"/>
                <w:spacing w:val="-3"/>
                <w:sz w:val="24"/>
                <w:szCs w:val="24"/>
                <w:lang w:val="en-US" w:eastAsia="zh-CN"/>
              </w:rPr>
            </w:pPr>
          </w:p>
          <w:p w14:paraId="3E60BF10">
            <w:pPr>
              <w:pStyle w:val="11"/>
              <w:snapToGrid w:val="0"/>
              <w:spacing w:before="75" w:line="240" w:lineRule="auto"/>
              <w:ind w:left="0" w:leftChars="0" w:right="0" w:rightChars="0" w:firstLine="0" w:firstLineChars="0"/>
              <w:jc w:val="center"/>
              <w:rPr>
                <w:rFonts w:hint="eastAsia"/>
                <w:b w:val="0"/>
                <w:bCs/>
                <w:color w:val="auto"/>
                <w:spacing w:val="-3"/>
                <w:sz w:val="24"/>
                <w:szCs w:val="24"/>
                <w:lang w:val="en-US" w:eastAsia="zh-CN"/>
              </w:rPr>
            </w:pPr>
          </w:p>
          <w:p w14:paraId="772C5F25">
            <w:pPr>
              <w:pStyle w:val="11"/>
              <w:snapToGrid w:val="0"/>
              <w:spacing w:before="75" w:line="240" w:lineRule="auto"/>
              <w:ind w:left="0" w:leftChars="0" w:right="0" w:rightChars="0" w:firstLine="0" w:firstLineChars="0"/>
              <w:jc w:val="center"/>
              <w:rPr>
                <w:rFonts w:hint="eastAsia"/>
                <w:b w:val="0"/>
                <w:bCs/>
                <w:color w:val="auto"/>
                <w:spacing w:val="-3"/>
                <w:sz w:val="24"/>
                <w:szCs w:val="24"/>
                <w:lang w:val="en-US" w:eastAsia="zh-CN"/>
              </w:rPr>
            </w:pPr>
          </w:p>
          <w:p w14:paraId="20DE7AD3">
            <w:pPr>
              <w:pStyle w:val="11"/>
              <w:snapToGrid w:val="0"/>
              <w:spacing w:before="75" w:line="240" w:lineRule="auto"/>
              <w:ind w:left="0" w:leftChars="0" w:right="0" w:rightChars="0" w:firstLine="0" w:firstLineChars="0"/>
              <w:jc w:val="center"/>
              <w:rPr>
                <w:rFonts w:hint="eastAsia"/>
                <w:b w:val="0"/>
                <w:bCs/>
                <w:color w:val="auto"/>
                <w:spacing w:val="-3"/>
                <w:sz w:val="24"/>
                <w:szCs w:val="24"/>
                <w:lang w:val="en-US" w:eastAsia="zh-CN"/>
              </w:rPr>
            </w:pPr>
          </w:p>
          <w:p w14:paraId="093CFEB0">
            <w:pPr>
              <w:pStyle w:val="11"/>
              <w:snapToGrid w:val="0"/>
              <w:spacing w:before="75" w:line="240" w:lineRule="auto"/>
              <w:ind w:left="0" w:leftChars="0" w:right="0" w:rightChars="0" w:firstLine="0" w:firstLineChars="0"/>
              <w:jc w:val="center"/>
              <w:rPr>
                <w:rFonts w:hint="eastAsia"/>
                <w:b w:val="0"/>
                <w:bCs/>
                <w:color w:val="auto"/>
                <w:spacing w:val="-3"/>
                <w:sz w:val="24"/>
                <w:szCs w:val="24"/>
                <w:lang w:val="en-US" w:eastAsia="zh-CN"/>
              </w:rPr>
            </w:pPr>
          </w:p>
        </w:tc>
        <w:tc>
          <w:tcPr>
            <w:tcW w:w="7409" w:type="dxa"/>
            <w:noWrap w:val="0"/>
            <w:vAlign w:val="top"/>
          </w:tcPr>
          <w:p w14:paraId="7EFA5FFA">
            <w:pPr>
              <w:pStyle w:val="11"/>
              <w:snapToGrid w:val="0"/>
              <w:spacing w:before="75" w:line="240" w:lineRule="auto"/>
              <w:ind w:left="0" w:leftChars="0" w:right="0" w:rightChars="0" w:firstLine="0" w:firstLineChars="0"/>
              <w:jc w:val="left"/>
              <w:rPr>
                <w:rFonts w:hint="eastAsia"/>
                <w:b w:val="0"/>
                <w:bCs/>
                <w:color w:val="auto"/>
                <w:spacing w:val="-3"/>
                <w:sz w:val="24"/>
                <w:szCs w:val="24"/>
                <w:lang w:val="en-US" w:eastAsia="zh-CN"/>
              </w:rPr>
            </w:pPr>
            <w:r>
              <w:rPr>
                <w:rFonts w:hint="eastAsia"/>
                <w:b w:val="0"/>
                <w:bCs/>
                <w:color w:val="auto"/>
                <w:spacing w:val="-3"/>
                <w:sz w:val="24"/>
                <w:szCs w:val="24"/>
                <w:lang w:val="en-US" w:eastAsia="zh-CN"/>
              </w:rPr>
              <w:t>（1）定期限开展房屋主体结构、围护结构及部品部件的结构安全巡视工作，发现问题及时向采购人报告，按采购人要求出具维修方案，待采购人同意后按维修方案实施维修。</w:t>
            </w:r>
          </w:p>
          <w:p w14:paraId="1060500F">
            <w:pPr>
              <w:pStyle w:val="11"/>
              <w:snapToGrid w:val="0"/>
              <w:spacing w:before="75" w:line="240" w:lineRule="auto"/>
              <w:ind w:left="0" w:leftChars="0" w:right="0" w:rightChars="0" w:firstLine="0" w:firstLineChars="0"/>
              <w:jc w:val="left"/>
              <w:rPr>
                <w:rFonts w:hint="eastAsia"/>
                <w:b w:val="0"/>
                <w:bCs/>
                <w:color w:val="auto"/>
                <w:spacing w:val="-3"/>
                <w:sz w:val="24"/>
                <w:szCs w:val="24"/>
                <w:lang w:val="en-US" w:eastAsia="zh-CN"/>
              </w:rPr>
            </w:pPr>
            <w:r>
              <w:rPr>
                <w:rFonts w:hint="eastAsia"/>
                <w:b w:val="0"/>
                <w:bCs/>
                <w:color w:val="auto"/>
                <w:spacing w:val="-3"/>
                <w:sz w:val="24"/>
                <w:szCs w:val="24"/>
                <w:lang w:val="en-US" w:eastAsia="zh-CN"/>
              </w:rPr>
              <w:t>（2）如遇恶劣雨雪、大风等天气后，需重点巡查，发现问题及时向采购人报告，按采购人要求出具维修方案，待采购人同意后按维修方案实施维修。</w:t>
            </w:r>
          </w:p>
          <w:p w14:paraId="71748C57">
            <w:pPr>
              <w:pStyle w:val="11"/>
              <w:snapToGrid w:val="0"/>
              <w:spacing w:before="75" w:line="240" w:lineRule="auto"/>
              <w:ind w:left="0" w:leftChars="0" w:right="0" w:rightChars="0" w:firstLine="0" w:firstLineChars="0"/>
              <w:jc w:val="left"/>
              <w:rPr>
                <w:rFonts w:hint="eastAsia"/>
                <w:b w:val="0"/>
                <w:bCs/>
                <w:color w:val="auto"/>
                <w:spacing w:val="-3"/>
                <w:sz w:val="24"/>
                <w:szCs w:val="24"/>
                <w:lang w:val="en-US" w:eastAsia="zh-CN"/>
              </w:rPr>
            </w:pPr>
            <w:r>
              <w:rPr>
                <w:rFonts w:hint="eastAsia"/>
                <w:b w:val="0"/>
                <w:bCs/>
                <w:color w:val="auto"/>
                <w:spacing w:val="-3"/>
                <w:sz w:val="24"/>
                <w:szCs w:val="24"/>
                <w:lang w:val="en-US" w:eastAsia="zh-CN"/>
              </w:rPr>
              <w:t>（3）定期开展大门、围墙、道路、场地、管井、沟渠、雨污水管井、化粪池的安全巡视工作，发现问题及时向采购人报告，按采购人要求出具维修方案，待采购人同意后按维修方案实施维修。</w:t>
            </w:r>
          </w:p>
          <w:p w14:paraId="7E3F5A7B">
            <w:pPr>
              <w:pStyle w:val="11"/>
              <w:snapToGrid w:val="0"/>
              <w:spacing w:before="75" w:line="240" w:lineRule="auto"/>
              <w:ind w:left="0" w:leftChars="0" w:right="0" w:rightChars="0" w:firstLine="0" w:firstLineChars="0"/>
              <w:jc w:val="left"/>
              <w:rPr>
                <w:rFonts w:hint="eastAsia"/>
                <w:b w:val="0"/>
                <w:bCs/>
                <w:color w:val="auto"/>
                <w:spacing w:val="-3"/>
                <w:sz w:val="24"/>
                <w:szCs w:val="24"/>
                <w:lang w:val="en-US" w:eastAsia="zh-CN"/>
              </w:rPr>
            </w:pPr>
            <w:r>
              <w:rPr>
                <w:rFonts w:hint="eastAsia"/>
                <w:b w:val="0"/>
                <w:bCs/>
                <w:color w:val="auto"/>
                <w:spacing w:val="-3"/>
                <w:sz w:val="24"/>
                <w:szCs w:val="24"/>
                <w:lang w:val="en-US" w:eastAsia="zh-CN"/>
              </w:rPr>
              <w:t>（4）根据采购人要求，配合施工方完成房屋的装修及水、电、土建等方面的施工。</w:t>
            </w:r>
          </w:p>
          <w:p w14:paraId="22793BEC">
            <w:pPr>
              <w:pStyle w:val="11"/>
              <w:snapToGrid w:val="0"/>
              <w:spacing w:before="75" w:line="240" w:lineRule="auto"/>
              <w:ind w:left="0" w:leftChars="0" w:right="0" w:rightChars="0" w:firstLine="0" w:firstLineChars="0"/>
              <w:jc w:val="left"/>
              <w:rPr>
                <w:rFonts w:hint="default"/>
                <w:b w:val="0"/>
                <w:bCs/>
                <w:color w:val="auto"/>
                <w:spacing w:val="-3"/>
                <w:sz w:val="24"/>
                <w:szCs w:val="24"/>
                <w:lang w:val="en-US" w:eastAsia="zh-CN"/>
              </w:rPr>
            </w:pPr>
            <w:r>
              <w:rPr>
                <w:rFonts w:hint="eastAsia"/>
                <w:b w:val="0"/>
                <w:bCs/>
                <w:color w:val="auto"/>
                <w:spacing w:val="-3"/>
                <w:sz w:val="24"/>
                <w:szCs w:val="24"/>
                <w:lang w:val="en-US" w:eastAsia="zh-CN"/>
              </w:rPr>
              <w:t>（5）标识标牌符合《公共信息图形符号第1部分：通用符号》（GB/T10001.1）的相关要求，消防与安全标识符合《安全标志及其使用导则》（GB2894）、《消防安全标志第1部分：标志》（GB13495.1）的相关要求，并定期检查，发现问题及时上报采购人。</w:t>
            </w:r>
          </w:p>
        </w:tc>
      </w:tr>
      <w:tr w14:paraId="547136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1" w:hRule="atLeast"/>
          <w:jc w:val="center"/>
        </w:trPr>
        <w:tc>
          <w:tcPr>
            <w:tcW w:w="1050" w:type="dxa"/>
            <w:noWrap w:val="0"/>
            <w:vAlign w:val="center"/>
          </w:tcPr>
          <w:p w14:paraId="25CC50A3">
            <w:pPr>
              <w:pStyle w:val="11"/>
              <w:snapToGrid w:val="0"/>
              <w:spacing w:before="75" w:line="240" w:lineRule="auto"/>
              <w:ind w:left="0" w:leftChars="0" w:right="0" w:rightChars="0" w:firstLine="0" w:firstLineChars="0"/>
              <w:jc w:val="center"/>
              <w:rPr>
                <w:rFonts w:hint="eastAsia"/>
                <w:b w:val="0"/>
                <w:bCs/>
                <w:color w:val="auto"/>
                <w:spacing w:val="-3"/>
                <w:sz w:val="24"/>
                <w:szCs w:val="24"/>
                <w:lang w:val="en-US" w:eastAsia="zh-CN"/>
              </w:rPr>
            </w:pPr>
            <w:r>
              <w:rPr>
                <w:rFonts w:hint="eastAsia"/>
                <w:b w:val="0"/>
                <w:bCs/>
                <w:color w:val="auto"/>
                <w:spacing w:val="-3"/>
                <w:sz w:val="24"/>
                <w:szCs w:val="24"/>
                <w:lang w:val="en-US" w:eastAsia="zh-CN"/>
              </w:rPr>
              <w:t>设备机房</w:t>
            </w:r>
          </w:p>
        </w:tc>
        <w:tc>
          <w:tcPr>
            <w:tcW w:w="7409" w:type="dxa"/>
            <w:noWrap w:val="0"/>
            <w:vAlign w:val="top"/>
          </w:tcPr>
          <w:p w14:paraId="4D2EEA19">
            <w:pPr>
              <w:pStyle w:val="11"/>
              <w:snapToGrid w:val="0"/>
              <w:spacing w:before="75" w:line="240" w:lineRule="auto"/>
              <w:ind w:left="0" w:leftChars="0" w:right="0" w:rightChars="0" w:firstLine="0" w:firstLineChars="0"/>
              <w:jc w:val="left"/>
              <w:rPr>
                <w:rFonts w:hint="eastAsia"/>
                <w:b w:val="0"/>
                <w:bCs/>
                <w:color w:val="auto"/>
                <w:spacing w:val="-3"/>
                <w:sz w:val="24"/>
                <w:szCs w:val="24"/>
                <w:lang w:val="en-US" w:eastAsia="zh-CN"/>
              </w:rPr>
            </w:pPr>
            <w:r>
              <w:rPr>
                <w:rFonts w:hint="eastAsia"/>
                <w:b w:val="0"/>
                <w:bCs/>
                <w:color w:val="auto"/>
                <w:spacing w:val="-3"/>
                <w:sz w:val="24"/>
                <w:szCs w:val="24"/>
                <w:lang w:val="en-US" w:eastAsia="zh-CN"/>
              </w:rPr>
              <w:t>（1）按各设备机房国家标准规范规定维护/保管消防、通风、应急照明，防止小动物进入。</w:t>
            </w:r>
          </w:p>
          <w:p w14:paraId="57904236">
            <w:pPr>
              <w:pStyle w:val="11"/>
              <w:snapToGrid w:val="0"/>
              <w:spacing w:before="75" w:line="240" w:lineRule="auto"/>
              <w:ind w:right="0" w:rightChars="0"/>
              <w:jc w:val="left"/>
              <w:rPr>
                <w:rFonts w:hint="eastAsia"/>
                <w:b w:val="0"/>
                <w:bCs/>
                <w:color w:val="auto"/>
                <w:spacing w:val="-3"/>
                <w:sz w:val="24"/>
                <w:szCs w:val="24"/>
                <w:lang w:val="en-US" w:eastAsia="zh-CN"/>
              </w:rPr>
            </w:pPr>
            <w:r>
              <w:rPr>
                <w:rFonts w:hint="eastAsia"/>
                <w:b w:val="0"/>
                <w:bCs/>
                <w:color w:val="auto"/>
                <w:spacing w:val="-3"/>
                <w:sz w:val="24"/>
                <w:szCs w:val="24"/>
                <w:lang w:val="en-US" w:eastAsia="zh-CN"/>
              </w:rPr>
              <w:t>（2）设备机房门口有机房类别及安全标志。落实各类机房责任人、督查人，且设备系统图、应急预案流程图、管理制度、特种作业人员资格证书等上墙文件或证书符合各设备机房国家标准规范要求，机房巡视及外来人员记录清晰完整，标识统一。</w:t>
            </w:r>
          </w:p>
          <w:p w14:paraId="4C3EA6BC">
            <w:pPr>
              <w:pStyle w:val="11"/>
              <w:snapToGrid w:val="0"/>
              <w:spacing w:before="75" w:line="240" w:lineRule="auto"/>
              <w:ind w:left="0" w:leftChars="0" w:right="0" w:rightChars="0" w:firstLine="0" w:firstLineChars="0"/>
              <w:jc w:val="left"/>
              <w:rPr>
                <w:rFonts w:hint="eastAsia"/>
                <w:b w:val="0"/>
                <w:bCs/>
                <w:color w:val="auto"/>
                <w:spacing w:val="-3"/>
                <w:sz w:val="24"/>
                <w:szCs w:val="24"/>
                <w:lang w:val="en-US" w:eastAsia="zh-CN"/>
              </w:rPr>
            </w:pPr>
            <w:r>
              <w:rPr>
                <w:rFonts w:hint="eastAsia"/>
                <w:b w:val="0"/>
                <w:bCs/>
                <w:color w:val="auto"/>
                <w:spacing w:val="-3"/>
                <w:sz w:val="24"/>
                <w:szCs w:val="24"/>
                <w:lang w:val="en-US" w:eastAsia="zh-CN"/>
              </w:rPr>
              <w:t>（3）安全防护用具配置齐全，检验合格。应急设施设备用品应当齐全、完备，可随时启用。</w:t>
            </w:r>
          </w:p>
        </w:tc>
      </w:tr>
      <w:tr w14:paraId="2771D1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3" w:hRule="atLeast"/>
          <w:jc w:val="center"/>
        </w:trPr>
        <w:tc>
          <w:tcPr>
            <w:tcW w:w="1050" w:type="dxa"/>
            <w:noWrap w:val="0"/>
            <w:vAlign w:val="top"/>
          </w:tcPr>
          <w:p w14:paraId="1023C91F">
            <w:pPr>
              <w:pStyle w:val="11"/>
              <w:snapToGrid w:val="0"/>
              <w:spacing w:before="75" w:line="240" w:lineRule="auto"/>
              <w:ind w:left="0" w:leftChars="0" w:right="0" w:rightChars="0" w:firstLine="0" w:firstLineChars="0"/>
              <w:jc w:val="center"/>
              <w:rPr>
                <w:rFonts w:hint="eastAsia"/>
                <w:b w:val="0"/>
                <w:bCs/>
                <w:color w:val="auto"/>
                <w:spacing w:val="-3"/>
                <w:sz w:val="24"/>
                <w:szCs w:val="24"/>
                <w:lang w:val="en-US" w:eastAsia="zh-CN"/>
              </w:rPr>
            </w:pPr>
          </w:p>
          <w:p w14:paraId="0537A776">
            <w:pPr>
              <w:pStyle w:val="11"/>
              <w:snapToGrid w:val="0"/>
              <w:spacing w:before="75" w:line="240" w:lineRule="auto"/>
              <w:ind w:left="0" w:leftChars="0" w:right="0" w:rightChars="0" w:firstLine="0" w:firstLineChars="0"/>
              <w:jc w:val="center"/>
              <w:rPr>
                <w:rFonts w:hint="eastAsia"/>
                <w:b w:val="0"/>
                <w:bCs/>
                <w:color w:val="auto"/>
                <w:spacing w:val="-3"/>
                <w:sz w:val="24"/>
                <w:szCs w:val="24"/>
                <w:lang w:val="en-US" w:eastAsia="zh-CN"/>
              </w:rPr>
            </w:pPr>
          </w:p>
          <w:p w14:paraId="60D38CB6">
            <w:pPr>
              <w:pStyle w:val="11"/>
              <w:snapToGrid w:val="0"/>
              <w:spacing w:before="75" w:line="240" w:lineRule="auto"/>
              <w:ind w:left="0" w:leftChars="0" w:right="0" w:rightChars="0" w:firstLine="0" w:firstLineChars="0"/>
              <w:jc w:val="center"/>
              <w:rPr>
                <w:rFonts w:hint="eastAsia"/>
                <w:b w:val="0"/>
                <w:bCs/>
                <w:color w:val="auto"/>
                <w:spacing w:val="-3"/>
                <w:sz w:val="24"/>
                <w:szCs w:val="24"/>
                <w:lang w:val="en-US" w:eastAsia="zh-CN"/>
              </w:rPr>
            </w:pPr>
          </w:p>
          <w:p w14:paraId="36D5FDF9">
            <w:pPr>
              <w:pStyle w:val="11"/>
              <w:snapToGrid w:val="0"/>
              <w:spacing w:before="75" w:line="240" w:lineRule="auto"/>
              <w:ind w:left="0" w:leftChars="0" w:right="0" w:rightChars="0" w:firstLine="0" w:firstLineChars="0"/>
              <w:jc w:val="center"/>
              <w:rPr>
                <w:rFonts w:hint="eastAsia"/>
                <w:b w:val="0"/>
                <w:bCs/>
                <w:color w:val="auto"/>
                <w:spacing w:val="-3"/>
                <w:sz w:val="24"/>
                <w:szCs w:val="24"/>
                <w:lang w:val="en-US" w:eastAsia="zh-CN"/>
              </w:rPr>
            </w:pPr>
          </w:p>
          <w:p w14:paraId="47EA8489">
            <w:pPr>
              <w:pStyle w:val="11"/>
              <w:snapToGrid w:val="0"/>
              <w:spacing w:before="75" w:line="240" w:lineRule="auto"/>
              <w:ind w:left="0" w:leftChars="0" w:right="0" w:rightChars="0" w:firstLine="0" w:firstLineChars="0"/>
              <w:jc w:val="center"/>
              <w:rPr>
                <w:rFonts w:hint="eastAsia"/>
                <w:b w:val="0"/>
                <w:bCs/>
                <w:color w:val="auto"/>
                <w:spacing w:val="-3"/>
                <w:sz w:val="24"/>
                <w:szCs w:val="24"/>
                <w:lang w:val="en-US" w:eastAsia="zh-CN"/>
              </w:rPr>
            </w:pPr>
            <w:r>
              <w:rPr>
                <w:rFonts w:hint="eastAsia"/>
                <w:b w:val="0"/>
                <w:bCs/>
                <w:color w:val="auto"/>
                <w:spacing w:val="-3"/>
                <w:sz w:val="24"/>
                <w:szCs w:val="24"/>
                <w:lang w:val="en-US" w:eastAsia="zh-CN"/>
              </w:rPr>
              <w:t>给排水系统</w:t>
            </w:r>
          </w:p>
        </w:tc>
        <w:tc>
          <w:tcPr>
            <w:tcW w:w="7409" w:type="dxa"/>
            <w:noWrap w:val="0"/>
            <w:vAlign w:val="top"/>
          </w:tcPr>
          <w:p w14:paraId="6BA0ED9B">
            <w:pPr>
              <w:pStyle w:val="11"/>
              <w:snapToGrid w:val="0"/>
              <w:spacing w:before="75" w:line="240" w:lineRule="auto"/>
              <w:ind w:left="0" w:leftChars="0" w:right="0" w:rightChars="0" w:firstLine="0" w:firstLineChars="0"/>
              <w:jc w:val="left"/>
              <w:rPr>
                <w:rFonts w:hint="eastAsia"/>
                <w:b w:val="0"/>
                <w:bCs/>
                <w:color w:val="auto"/>
                <w:spacing w:val="-3"/>
                <w:sz w:val="24"/>
                <w:szCs w:val="24"/>
                <w:lang w:val="en-US" w:eastAsia="zh-CN"/>
              </w:rPr>
            </w:pPr>
            <w:r>
              <w:rPr>
                <w:rFonts w:hint="eastAsia"/>
                <w:b w:val="0"/>
                <w:bCs/>
                <w:color w:val="auto"/>
                <w:spacing w:val="-3"/>
                <w:sz w:val="24"/>
                <w:szCs w:val="24"/>
                <w:lang w:val="en-US" w:eastAsia="zh-CN"/>
              </w:rPr>
              <w:t>（1）生活饮用水卫生符合《生活饮用水卫生标准》（GB5749）的相关要求。</w:t>
            </w:r>
          </w:p>
          <w:p w14:paraId="281E37B4">
            <w:pPr>
              <w:pStyle w:val="11"/>
              <w:snapToGrid w:val="0"/>
              <w:spacing w:before="75" w:line="240" w:lineRule="auto"/>
              <w:ind w:left="0" w:leftChars="0" w:right="0" w:rightChars="0" w:firstLine="0" w:firstLineChars="0"/>
              <w:jc w:val="left"/>
              <w:rPr>
                <w:rFonts w:hint="eastAsia"/>
                <w:b w:val="0"/>
                <w:bCs/>
                <w:color w:val="auto"/>
                <w:spacing w:val="-3"/>
                <w:sz w:val="24"/>
                <w:szCs w:val="24"/>
                <w:lang w:val="en-US" w:eastAsia="zh-CN"/>
              </w:rPr>
            </w:pPr>
            <w:r>
              <w:rPr>
                <w:rFonts w:hint="eastAsia"/>
                <w:b w:val="0"/>
                <w:bCs/>
                <w:color w:val="auto"/>
                <w:spacing w:val="-3"/>
                <w:sz w:val="24"/>
                <w:szCs w:val="24"/>
                <w:lang w:val="en-US" w:eastAsia="zh-CN"/>
              </w:rPr>
              <w:t>（2）二次供水卫生符合《二次供水设施卫生规范》（GB17051）的相关要求。</w:t>
            </w:r>
          </w:p>
          <w:p w14:paraId="0660B837">
            <w:pPr>
              <w:pStyle w:val="11"/>
              <w:snapToGrid w:val="0"/>
              <w:spacing w:before="75" w:line="240" w:lineRule="auto"/>
              <w:ind w:left="0" w:leftChars="0" w:right="0" w:rightChars="0" w:firstLine="0" w:firstLineChars="0"/>
              <w:jc w:val="left"/>
              <w:rPr>
                <w:rFonts w:hint="eastAsia"/>
                <w:b w:val="0"/>
                <w:bCs/>
                <w:color w:val="auto"/>
                <w:spacing w:val="-3"/>
                <w:sz w:val="24"/>
                <w:szCs w:val="24"/>
                <w:lang w:val="en-US" w:eastAsia="zh-CN"/>
              </w:rPr>
            </w:pPr>
            <w:r>
              <w:rPr>
                <w:rFonts w:hint="eastAsia"/>
                <w:b w:val="0"/>
                <w:bCs/>
                <w:color w:val="auto"/>
                <w:spacing w:val="-3"/>
                <w:sz w:val="24"/>
                <w:szCs w:val="24"/>
                <w:lang w:val="en-US" w:eastAsia="zh-CN"/>
              </w:rPr>
              <w:t>（3）有水泵房、水箱间的，定时巡视、养护。设施设备、阀门、管道等运行正常，无跑、冒、滴、漏现象。</w:t>
            </w:r>
          </w:p>
          <w:p w14:paraId="3611B14E">
            <w:pPr>
              <w:pStyle w:val="11"/>
              <w:snapToGrid w:val="0"/>
              <w:spacing w:before="75" w:line="240" w:lineRule="auto"/>
              <w:ind w:left="0" w:leftChars="0" w:right="0" w:rightChars="0" w:firstLine="0" w:firstLineChars="0"/>
              <w:jc w:val="left"/>
              <w:rPr>
                <w:rFonts w:hint="eastAsia"/>
                <w:b w:val="0"/>
                <w:bCs/>
                <w:color w:val="auto"/>
                <w:spacing w:val="-3"/>
                <w:sz w:val="24"/>
                <w:szCs w:val="24"/>
                <w:lang w:val="en-US" w:eastAsia="zh-CN"/>
              </w:rPr>
            </w:pPr>
            <w:r>
              <w:rPr>
                <w:rFonts w:hint="eastAsia"/>
                <w:b w:val="0"/>
                <w:bCs/>
                <w:color w:val="auto"/>
                <w:spacing w:val="-3"/>
                <w:sz w:val="24"/>
                <w:szCs w:val="24"/>
                <w:lang w:val="en-US" w:eastAsia="zh-CN"/>
              </w:rPr>
              <w:t>（4）遇供水单位限水、停水，按规定时间通知采购人。</w:t>
            </w:r>
          </w:p>
          <w:p w14:paraId="5E52E038">
            <w:pPr>
              <w:pStyle w:val="11"/>
              <w:snapToGrid w:val="0"/>
              <w:spacing w:before="75" w:line="240" w:lineRule="auto"/>
              <w:ind w:left="0" w:leftChars="0" w:right="0" w:rightChars="0" w:firstLine="0" w:firstLineChars="0"/>
              <w:jc w:val="left"/>
              <w:rPr>
                <w:rFonts w:hint="eastAsia"/>
                <w:b w:val="0"/>
                <w:bCs/>
                <w:color w:val="auto"/>
                <w:spacing w:val="-3"/>
                <w:sz w:val="24"/>
                <w:szCs w:val="24"/>
                <w:lang w:val="en-US" w:eastAsia="zh-CN"/>
              </w:rPr>
            </w:pPr>
            <w:r>
              <w:rPr>
                <w:rFonts w:hint="eastAsia"/>
                <w:b w:val="0"/>
                <w:bCs/>
                <w:color w:val="auto"/>
                <w:spacing w:val="-3"/>
                <w:sz w:val="24"/>
                <w:szCs w:val="24"/>
                <w:lang w:val="en-US" w:eastAsia="zh-CN"/>
              </w:rPr>
              <w:t>（5）及时对排水管进行疏通、清污，保证室内外排水系统通畅。</w:t>
            </w:r>
          </w:p>
          <w:p w14:paraId="36F58A53">
            <w:pPr>
              <w:pStyle w:val="11"/>
              <w:snapToGrid w:val="0"/>
              <w:spacing w:before="75" w:line="240" w:lineRule="auto"/>
              <w:ind w:left="0" w:leftChars="0" w:right="0" w:rightChars="0" w:firstLine="0" w:firstLineChars="0"/>
              <w:jc w:val="left"/>
              <w:rPr>
                <w:rFonts w:hint="eastAsia"/>
                <w:b w:val="0"/>
                <w:bCs/>
                <w:color w:val="auto"/>
                <w:spacing w:val="-3"/>
                <w:sz w:val="24"/>
                <w:szCs w:val="24"/>
                <w:lang w:val="en-US" w:eastAsia="zh-CN"/>
              </w:rPr>
            </w:pPr>
          </w:p>
        </w:tc>
      </w:tr>
      <w:tr w14:paraId="47242C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85" w:hRule="atLeast"/>
          <w:jc w:val="center"/>
        </w:trPr>
        <w:tc>
          <w:tcPr>
            <w:tcW w:w="1050" w:type="dxa"/>
            <w:noWrap w:val="0"/>
            <w:vAlign w:val="center"/>
          </w:tcPr>
          <w:p w14:paraId="3E2B8D4D">
            <w:pPr>
              <w:pStyle w:val="11"/>
              <w:snapToGrid w:val="0"/>
              <w:spacing w:before="75" w:line="240" w:lineRule="auto"/>
              <w:ind w:left="0" w:leftChars="0" w:right="0" w:rightChars="0" w:firstLine="0" w:firstLineChars="0"/>
              <w:jc w:val="center"/>
              <w:rPr>
                <w:rFonts w:hint="eastAsia"/>
                <w:b w:val="0"/>
                <w:bCs/>
                <w:color w:val="auto"/>
                <w:spacing w:val="-3"/>
                <w:sz w:val="24"/>
                <w:szCs w:val="24"/>
                <w:lang w:val="en-US" w:eastAsia="zh-CN"/>
              </w:rPr>
            </w:pPr>
            <w:r>
              <w:rPr>
                <w:rFonts w:hint="eastAsia"/>
                <w:b w:val="0"/>
                <w:bCs/>
                <w:color w:val="auto"/>
                <w:spacing w:val="-3"/>
                <w:sz w:val="24"/>
                <w:szCs w:val="24"/>
                <w:lang w:val="en-US" w:eastAsia="zh-CN"/>
              </w:rPr>
              <w:t>电梯系统</w:t>
            </w:r>
          </w:p>
        </w:tc>
        <w:tc>
          <w:tcPr>
            <w:tcW w:w="7409" w:type="dxa"/>
            <w:noWrap w:val="0"/>
            <w:vAlign w:val="top"/>
          </w:tcPr>
          <w:p w14:paraId="56D13232">
            <w:pPr>
              <w:pStyle w:val="11"/>
              <w:snapToGrid w:val="0"/>
              <w:spacing w:before="75" w:line="240" w:lineRule="auto"/>
              <w:ind w:left="0" w:leftChars="0" w:right="0" w:rightChars="0" w:firstLine="0" w:firstLineChars="0"/>
              <w:jc w:val="left"/>
              <w:rPr>
                <w:rFonts w:hint="eastAsia"/>
                <w:b w:val="0"/>
                <w:bCs/>
                <w:color w:val="auto"/>
                <w:spacing w:val="-3"/>
                <w:sz w:val="24"/>
                <w:szCs w:val="24"/>
                <w:lang w:val="en-US" w:eastAsia="zh-CN"/>
              </w:rPr>
            </w:pPr>
            <w:r>
              <w:rPr>
                <w:rFonts w:hint="eastAsia"/>
                <w:b w:val="0"/>
                <w:bCs/>
                <w:color w:val="auto"/>
                <w:spacing w:val="-3"/>
                <w:sz w:val="24"/>
                <w:szCs w:val="24"/>
                <w:lang w:val="en-US" w:eastAsia="zh-CN"/>
              </w:rPr>
              <w:t>（1）电梯运行平稳、无异响、平层、开关正常。定期开展电梯的安全状况检查。</w:t>
            </w:r>
          </w:p>
          <w:p w14:paraId="7DC2E2A0">
            <w:pPr>
              <w:pStyle w:val="11"/>
              <w:snapToGrid w:val="0"/>
              <w:spacing w:before="75" w:line="240" w:lineRule="auto"/>
              <w:ind w:left="0" w:leftChars="0" w:right="0" w:rightChars="0" w:firstLine="0" w:firstLineChars="0"/>
              <w:jc w:val="left"/>
              <w:rPr>
                <w:rFonts w:hint="eastAsia"/>
                <w:b w:val="0"/>
                <w:bCs/>
                <w:color w:val="auto"/>
                <w:spacing w:val="-3"/>
                <w:sz w:val="24"/>
                <w:szCs w:val="24"/>
                <w:lang w:val="en-US" w:eastAsia="zh-CN"/>
              </w:rPr>
            </w:pPr>
            <w:r>
              <w:rPr>
                <w:rFonts w:hint="eastAsia"/>
                <w:b w:val="0"/>
                <w:bCs/>
                <w:color w:val="auto"/>
                <w:spacing w:val="-3"/>
                <w:sz w:val="24"/>
                <w:szCs w:val="24"/>
                <w:lang w:val="en-US" w:eastAsia="zh-CN"/>
              </w:rPr>
              <w:t>（2）电梯准用证、年检合格证等证件齐全。相关证件、紧急救援电话和乘客注意事项置于轿厢醒目位置。</w:t>
            </w:r>
          </w:p>
          <w:p w14:paraId="1CEE7202">
            <w:pPr>
              <w:pStyle w:val="11"/>
              <w:snapToGrid w:val="0"/>
              <w:spacing w:before="75" w:line="240" w:lineRule="auto"/>
              <w:ind w:left="0" w:leftChars="0" w:right="0" w:rightChars="0" w:firstLine="0" w:firstLineChars="0"/>
              <w:jc w:val="left"/>
              <w:rPr>
                <w:rFonts w:hint="eastAsia"/>
                <w:b w:val="0"/>
                <w:bCs/>
                <w:color w:val="auto"/>
                <w:spacing w:val="-3"/>
                <w:sz w:val="24"/>
                <w:szCs w:val="24"/>
                <w:lang w:val="en-US" w:eastAsia="zh-CN"/>
              </w:rPr>
            </w:pPr>
            <w:r>
              <w:rPr>
                <w:rFonts w:hint="eastAsia"/>
                <w:b w:val="0"/>
                <w:bCs/>
                <w:color w:val="auto"/>
                <w:spacing w:val="-3"/>
                <w:sz w:val="24"/>
                <w:szCs w:val="24"/>
                <w:lang w:val="en-US" w:eastAsia="zh-CN"/>
              </w:rPr>
              <w:t>（3）每年至少开展1次对电梯的全面检测，并出具检测报告，核发电梯使用标志。</w:t>
            </w:r>
          </w:p>
          <w:p w14:paraId="302CC149">
            <w:pPr>
              <w:pStyle w:val="11"/>
              <w:snapToGrid w:val="0"/>
              <w:spacing w:before="75" w:line="240" w:lineRule="auto"/>
              <w:ind w:left="0" w:leftChars="0" w:right="0" w:rightChars="0" w:firstLine="0" w:firstLineChars="0"/>
              <w:jc w:val="left"/>
              <w:rPr>
                <w:rFonts w:hint="eastAsia"/>
                <w:b w:val="0"/>
                <w:bCs/>
                <w:color w:val="auto"/>
                <w:spacing w:val="-3"/>
                <w:sz w:val="24"/>
                <w:szCs w:val="24"/>
                <w:lang w:val="en-US" w:eastAsia="zh-CN"/>
              </w:rPr>
            </w:pPr>
            <w:r>
              <w:rPr>
                <w:rFonts w:hint="eastAsia"/>
                <w:b w:val="0"/>
                <w:bCs/>
                <w:color w:val="auto"/>
                <w:spacing w:val="-3"/>
                <w:sz w:val="24"/>
                <w:szCs w:val="24"/>
                <w:lang w:val="en-US" w:eastAsia="zh-CN"/>
              </w:rPr>
              <w:t>（4）电梯维保应当符合《电梯维护保养规则》（TSGT5002）的有关要求。</w:t>
            </w:r>
          </w:p>
          <w:p w14:paraId="77F11A9A">
            <w:pPr>
              <w:pStyle w:val="11"/>
              <w:snapToGrid w:val="0"/>
              <w:spacing w:before="75" w:line="240" w:lineRule="auto"/>
              <w:ind w:left="0" w:leftChars="0" w:right="0" w:rightChars="0" w:firstLine="0" w:firstLineChars="0"/>
              <w:jc w:val="left"/>
              <w:rPr>
                <w:rFonts w:hint="eastAsia"/>
                <w:b w:val="0"/>
                <w:bCs/>
                <w:color w:val="auto"/>
                <w:spacing w:val="-3"/>
                <w:sz w:val="24"/>
                <w:szCs w:val="24"/>
                <w:lang w:val="en-US" w:eastAsia="zh-CN"/>
              </w:rPr>
            </w:pPr>
            <w:r>
              <w:rPr>
                <w:rFonts w:hint="eastAsia"/>
                <w:b w:val="0"/>
                <w:bCs/>
                <w:color w:val="auto"/>
                <w:spacing w:val="-3"/>
                <w:sz w:val="24"/>
                <w:szCs w:val="24"/>
                <w:lang w:val="en-US" w:eastAsia="zh-CN"/>
              </w:rPr>
              <w:t>（5）电梯使用应当符合《特种设备使用管理规则》（TSG08）的有关要求。</w:t>
            </w:r>
          </w:p>
          <w:p w14:paraId="23AD05CF">
            <w:pPr>
              <w:pStyle w:val="11"/>
              <w:snapToGrid w:val="0"/>
              <w:spacing w:before="75" w:line="240" w:lineRule="auto"/>
              <w:ind w:left="0" w:leftChars="0" w:right="0" w:rightChars="0" w:firstLine="0" w:firstLineChars="0"/>
              <w:jc w:val="left"/>
              <w:rPr>
                <w:rFonts w:hint="eastAsia"/>
                <w:b w:val="0"/>
                <w:bCs/>
                <w:color w:val="auto"/>
                <w:spacing w:val="-3"/>
                <w:sz w:val="24"/>
                <w:szCs w:val="24"/>
                <w:lang w:val="en-US" w:eastAsia="zh-CN"/>
              </w:rPr>
            </w:pPr>
            <w:r>
              <w:rPr>
                <w:rFonts w:hint="eastAsia"/>
                <w:b w:val="0"/>
                <w:bCs/>
                <w:color w:val="auto"/>
                <w:spacing w:val="-3"/>
                <w:sz w:val="24"/>
                <w:szCs w:val="24"/>
                <w:lang w:val="en-US" w:eastAsia="zh-CN"/>
              </w:rPr>
              <w:t>（6）有电梯突发事件或事故的应急措施与救援预案。电梯出现故障，物业服务人员10分钟内到场应急处理，维保专业人员30分钟内到场应急处理。到场进行救助和排除故障。电梯紧急电话保持畅通。</w:t>
            </w:r>
          </w:p>
          <w:p w14:paraId="7C891BCF">
            <w:pPr>
              <w:pStyle w:val="11"/>
              <w:snapToGrid w:val="0"/>
              <w:spacing w:before="75" w:line="240" w:lineRule="auto"/>
              <w:ind w:left="0" w:leftChars="0" w:right="0" w:rightChars="0" w:firstLine="0" w:firstLineChars="0"/>
              <w:jc w:val="left"/>
              <w:rPr>
                <w:rFonts w:hint="eastAsia"/>
                <w:b w:val="0"/>
                <w:bCs/>
                <w:color w:val="auto"/>
                <w:spacing w:val="-3"/>
                <w:sz w:val="24"/>
                <w:szCs w:val="24"/>
                <w:lang w:val="en-US" w:eastAsia="zh-CN"/>
              </w:rPr>
            </w:pPr>
            <w:r>
              <w:rPr>
                <w:rFonts w:hint="eastAsia"/>
                <w:b w:val="0"/>
                <w:bCs/>
                <w:color w:val="auto"/>
                <w:spacing w:val="-3"/>
                <w:sz w:val="24"/>
                <w:szCs w:val="24"/>
                <w:lang w:val="en-US" w:eastAsia="zh-CN"/>
              </w:rPr>
              <w:t>（7）电梯维修、保养时在现场设置提示标识和防护围栏。</w:t>
            </w:r>
          </w:p>
          <w:p w14:paraId="3FF1CB91">
            <w:pPr>
              <w:pStyle w:val="11"/>
              <w:snapToGrid w:val="0"/>
              <w:spacing w:before="75" w:line="240" w:lineRule="auto"/>
              <w:ind w:left="0" w:leftChars="0" w:right="0" w:rightChars="0" w:firstLine="0" w:firstLineChars="0"/>
              <w:jc w:val="left"/>
              <w:rPr>
                <w:rFonts w:hint="eastAsia"/>
                <w:b w:val="0"/>
                <w:bCs/>
                <w:color w:val="auto"/>
                <w:spacing w:val="-3"/>
                <w:sz w:val="24"/>
                <w:szCs w:val="24"/>
                <w:lang w:val="en-US" w:eastAsia="zh-CN"/>
              </w:rPr>
            </w:pPr>
          </w:p>
        </w:tc>
      </w:tr>
      <w:tr w14:paraId="17D332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85" w:hRule="atLeast"/>
          <w:jc w:val="center"/>
        </w:trPr>
        <w:tc>
          <w:tcPr>
            <w:tcW w:w="1050" w:type="dxa"/>
            <w:noWrap w:val="0"/>
            <w:vAlign w:val="top"/>
          </w:tcPr>
          <w:p w14:paraId="7659E4DD">
            <w:pPr>
              <w:pStyle w:val="11"/>
              <w:snapToGrid w:val="0"/>
              <w:spacing w:before="75" w:line="240" w:lineRule="auto"/>
              <w:ind w:left="0" w:leftChars="0" w:right="0" w:rightChars="0" w:firstLine="0" w:firstLineChars="0"/>
              <w:jc w:val="center"/>
              <w:rPr>
                <w:rFonts w:hint="eastAsia"/>
                <w:b w:val="0"/>
                <w:bCs/>
                <w:color w:val="auto"/>
                <w:spacing w:val="-3"/>
                <w:sz w:val="24"/>
                <w:szCs w:val="24"/>
                <w:lang w:val="en-US" w:eastAsia="zh-CN"/>
              </w:rPr>
            </w:pPr>
          </w:p>
          <w:p w14:paraId="2C8CA932">
            <w:pPr>
              <w:pStyle w:val="11"/>
              <w:snapToGrid w:val="0"/>
              <w:spacing w:before="75" w:line="240" w:lineRule="auto"/>
              <w:ind w:left="0" w:leftChars="0" w:right="0" w:rightChars="0" w:firstLine="0" w:firstLineChars="0"/>
              <w:jc w:val="center"/>
              <w:rPr>
                <w:rFonts w:hint="eastAsia"/>
                <w:b w:val="0"/>
                <w:bCs/>
                <w:color w:val="auto"/>
                <w:spacing w:val="-3"/>
                <w:sz w:val="24"/>
                <w:szCs w:val="24"/>
                <w:lang w:val="en-US" w:eastAsia="zh-CN"/>
              </w:rPr>
            </w:pPr>
          </w:p>
          <w:p w14:paraId="01B221C3">
            <w:pPr>
              <w:pStyle w:val="11"/>
              <w:snapToGrid w:val="0"/>
              <w:spacing w:before="75" w:line="240" w:lineRule="auto"/>
              <w:ind w:left="0" w:leftChars="0" w:right="0" w:rightChars="0" w:firstLine="0" w:firstLineChars="0"/>
              <w:jc w:val="center"/>
              <w:rPr>
                <w:rFonts w:hint="eastAsia"/>
                <w:b w:val="0"/>
                <w:bCs/>
                <w:color w:val="auto"/>
                <w:spacing w:val="-3"/>
                <w:sz w:val="24"/>
                <w:szCs w:val="24"/>
                <w:lang w:val="en-US" w:eastAsia="zh-CN"/>
              </w:rPr>
            </w:pPr>
          </w:p>
          <w:p w14:paraId="5F85A994">
            <w:pPr>
              <w:pStyle w:val="11"/>
              <w:snapToGrid w:val="0"/>
              <w:spacing w:before="75" w:line="240" w:lineRule="auto"/>
              <w:ind w:left="0" w:leftChars="0" w:right="0" w:rightChars="0" w:firstLine="0" w:firstLineChars="0"/>
              <w:jc w:val="center"/>
              <w:rPr>
                <w:rFonts w:hint="eastAsia"/>
                <w:b w:val="0"/>
                <w:bCs/>
                <w:color w:val="auto"/>
                <w:spacing w:val="-3"/>
                <w:sz w:val="24"/>
                <w:szCs w:val="24"/>
                <w:lang w:val="en-US" w:eastAsia="zh-CN"/>
              </w:rPr>
            </w:pPr>
          </w:p>
          <w:p w14:paraId="5518F35B">
            <w:pPr>
              <w:pStyle w:val="11"/>
              <w:snapToGrid w:val="0"/>
              <w:spacing w:before="75" w:line="240" w:lineRule="auto"/>
              <w:ind w:left="0" w:leftChars="0" w:right="0" w:rightChars="0" w:firstLine="0" w:firstLineChars="0"/>
              <w:jc w:val="center"/>
              <w:rPr>
                <w:rFonts w:hint="eastAsia"/>
                <w:b w:val="0"/>
                <w:bCs/>
                <w:color w:val="auto"/>
                <w:spacing w:val="-3"/>
                <w:sz w:val="24"/>
                <w:szCs w:val="24"/>
                <w:lang w:val="en-US" w:eastAsia="zh-CN"/>
              </w:rPr>
            </w:pPr>
          </w:p>
          <w:p w14:paraId="365E2AD7">
            <w:pPr>
              <w:pStyle w:val="11"/>
              <w:snapToGrid w:val="0"/>
              <w:spacing w:before="75" w:line="240" w:lineRule="auto"/>
              <w:ind w:left="0" w:leftChars="0" w:right="0" w:rightChars="0" w:firstLine="0" w:firstLineChars="0"/>
              <w:jc w:val="center"/>
              <w:rPr>
                <w:rFonts w:hint="eastAsia"/>
                <w:b w:val="0"/>
                <w:bCs/>
                <w:color w:val="auto"/>
                <w:spacing w:val="-3"/>
                <w:sz w:val="24"/>
                <w:szCs w:val="24"/>
                <w:lang w:val="en-US" w:eastAsia="zh-CN"/>
              </w:rPr>
            </w:pPr>
          </w:p>
          <w:p w14:paraId="7C19C7C7">
            <w:pPr>
              <w:pStyle w:val="11"/>
              <w:snapToGrid w:val="0"/>
              <w:spacing w:before="75" w:line="240" w:lineRule="auto"/>
              <w:ind w:left="0" w:leftChars="0" w:right="0" w:rightChars="0" w:firstLine="0" w:firstLineChars="0"/>
              <w:jc w:val="center"/>
              <w:rPr>
                <w:rFonts w:hint="eastAsia"/>
                <w:b w:val="0"/>
                <w:bCs/>
                <w:color w:val="auto"/>
                <w:spacing w:val="-3"/>
                <w:sz w:val="24"/>
                <w:szCs w:val="24"/>
                <w:lang w:val="en-US" w:eastAsia="zh-CN"/>
              </w:rPr>
            </w:pPr>
          </w:p>
          <w:p w14:paraId="01281A08">
            <w:pPr>
              <w:pStyle w:val="11"/>
              <w:snapToGrid w:val="0"/>
              <w:spacing w:before="75" w:line="240" w:lineRule="auto"/>
              <w:ind w:left="0" w:leftChars="0" w:right="0" w:rightChars="0" w:firstLine="0" w:firstLineChars="0"/>
              <w:jc w:val="center"/>
              <w:rPr>
                <w:rFonts w:hint="eastAsia"/>
                <w:b w:val="0"/>
                <w:bCs/>
                <w:color w:val="auto"/>
                <w:spacing w:val="-3"/>
                <w:sz w:val="24"/>
                <w:szCs w:val="24"/>
                <w:lang w:val="en-US" w:eastAsia="zh-CN"/>
              </w:rPr>
            </w:pPr>
            <w:r>
              <w:rPr>
                <w:rFonts w:hint="eastAsia"/>
                <w:b w:val="0"/>
                <w:bCs/>
                <w:color w:val="auto"/>
                <w:spacing w:val="-3"/>
                <w:sz w:val="24"/>
                <w:szCs w:val="24"/>
                <w:lang w:val="en-US" w:eastAsia="zh-CN"/>
              </w:rPr>
              <w:t>空调系统</w:t>
            </w:r>
          </w:p>
        </w:tc>
        <w:tc>
          <w:tcPr>
            <w:tcW w:w="7409" w:type="dxa"/>
            <w:noWrap w:val="0"/>
            <w:vAlign w:val="top"/>
          </w:tcPr>
          <w:p w14:paraId="5658E599">
            <w:pPr>
              <w:pStyle w:val="11"/>
              <w:snapToGrid w:val="0"/>
              <w:spacing w:before="75" w:line="240" w:lineRule="auto"/>
              <w:ind w:left="0" w:leftChars="0" w:right="0" w:rightChars="0" w:firstLine="0" w:firstLineChars="0"/>
              <w:jc w:val="left"/>
              <w:rPr>
                <w:rFonts w:hint="eastAsia"/>
                <w:b w:val="0"/>
                <w:bCs/>
                <w:color w:val="auto"/>
                <w:spacing w:val="-3"/>
                <w:sz w:val="24"/>
                <w:szCs w:val="24"/>
                <w:lang w:val="en-US" w:eastAsia="zh-CN"/>
              </w:rPr>
            </w:pPr>
            <w:r>
              <w:rPr>
                <w:rFonts w:hint="eastAsia"/>
                <w:b w:val="0"/>
                <w:bCs/>
                <w:color w:val="auto"/>
                <w:spacing w:val="-3"/>
                <w:sz w:val="24"/>
                <w:szCs w:val="24"/>
                <w:lang w:val="en-US" w:eastAsia="zh-CN"/>
              </w:rPr>
              <w:t>（1）空调通风系统运行管理符合《空调通风系统运行管理标准》（GB50365）的相关要求。</w:t>
            </w:r>
          </w:p>
          <w:p w14:paraId="04A42DDC">
            <w:pPr>
              <w:pStyle w:val="11"/>
              <w:snapToGrid w:val="0"/>
              <w:spacing w:before="75" w:line="240" w:lineRule="auto"/>
              <w:ind w:left="0" w:leftChars="0" w:right="0" w:rightChars="0" w:firstLine="0" w:firstLineChars="0"/>
              <w:jc w:val="left"/>
              <w:rPr>
                <w:rFonts w:hint="eastAsia"/>
                <w:b w:val="0"/>
                <w:bCs/>
                <w:color w:val="auto"/>
                <w:spacing w:val="-3"/>
                <w:sz w:val="24"/>
                <w:szCs w:val="24"/>
                <w:lang w:val="en-US" w:eastAsia="zh-CN"/>
              </w:rPr>
            </w:pPr>
            <w:r>
              <w:rPr>
                <w:rFonts w:hint="eastAsia"/>
                <w:b w:val="0"/>
                <w:bCs/>
                <w:color w:val="auto"/>
                <w:spacing w:val="-3"/>
                <w:sz w:val="24"/>
                <w:szCs w:val="24"/>
                <w:lang w:val="en-US" w:eastAsia="zh-CN"/>
              </w:rPr>
              <w:t>（2）办公楼内温湿度、空气质量等符合《室内空气质量标准》（GB/T18883）的相关要求。</w:t>
            </w:r>
          </w:p>
          <w:p w14:paraId="4AC03CCB">
            <w:pPr>
              <w:pStyle w:val="11"/>
              <w:snapToGrid w:val="0"/>
              <w:spacing w:before="75" w:line="240" w:lineRule="auto"/>
              <w:ind w:left="0" w:leftChars="0" w:right="0" w:rightChars="0" w:firstLine="0" w:firstLineChars="0"/>
              <w:jc w:val="left"/>
              <w:rPr>
                <w:rFonts w:hint="eastAsia"/>
                <w:b w:val="0"/>
                <w:bCs/>
                <w:color w:val="auto"/>
                <w:spacing w:val="-3"/>
                <w:sz w:val="24"/>
                <w:szCs w:val="24"/>
                <w:lang w:val="en-US" w:eastAsia="zh-CN"/>
              </w:rPr>
            </w:pPr>
            <w:r>
              <w:rPr>
                <w:rFonts w:hint="eastAsia"/>
                <w:b w:val="0"/>
                <w:bCs/>
                <w:color w:val="auto"/>
                <w:spacing w:val="-3"/>
                <w:sz w:val="24"/>
                <w:szCs w:val="24"/>
                <w:lang w:val="en-US" w:eastAsia="zh-CN"/>
              </w:rPr>
              <w:t>（3）定期维保并做好记录，保证空调设施设备处于良好状态。</w:t>
            </w:r>
          </w:p>
          <w:p w14:paraId="35161030">
            <w:pPr>
              <w:pStyle w:val="11"/>
              <w:snapToGrid w:val="0"/>
              <w:spacing w:before="75" w:line="240" w:lineRule="auto"/>
              <w:ind w:left="0" w:leftChars="0" w:right="0" w:rightChars="0" w:firstLine="0" w:firstLineChars="0"/>
              <w:jc w:val="left"/>
              <w:rPr>
                <w:rFonts w:hint="eastAsia"/>
                <w:b w:val="0"/>
                <w:bCs/>
                <w:color w:val="auto"/>
                <w:spacing w:val="-3"/>
                <w:sz w:val="24"/>
                <w:szCs w:val="24"/>
                <w:lang w:val="en-US" w:eastAsia="zh-CN"/>
              </w:rPr>
            </w:pPr>
            <w:r>
              <w:rPr>
                <w:rFonts w:hint="eastAsia"/>
                <w:b w:val="0"/>
                <w:bCs/>
                <w:color w:val="auto"/>
                <w:spacing w:val="-3"/>
                <w:sz w:val="24"/>
                <w:szCs w:val="24"/>
                <w:lang w:val="en-US" w:eastAsia="zh-CN"/>
              </w:rPr>
              <w:t>（4）中央空调运行前对冷水机组、循环水泵、冷却塔、风机等设施设备进行系统检查，运行期间每日至少开展1次运行情况巡查。</w:t>
            </w:r>
          </w:p>
          <w:p w14:paraId="1BE05884">
            <w:pPr>
              <w:pStyle w:val="11"/>
              <w:snapToGrid w:val="0"/>
              <w:spacing w:before="75" w:line="240" w:lineRule="auto"/>
              <w:ind w:left="0" w:leftChars="0" w:right="0" w:rightChars="0" w:firstLine="0" w:firstLineChars="0"/>
              <w:jc w:val="left"/>
              <w:rPr>
                <w:rFonts w:hint="eastAsia"/>
                <w:b w:val="0"/>
                <w:bCs/>
                <w:color w:val="auto"/>
                <w:spacing w:val="-3"/>
                <w:sz w:val="24"/>
                <w:szCs w:val="24"/>
                <w:lang w:val="en-US" w:eastAsia="zh-CN"/>
              </w:rPr>
            </w:pPr>
            <w:r>
              <w:rPr>
                <w:rFonts w:hint="eastAsia"/>
                <w:b w:val="0"/>
                <w:bCs/>
                <w:color w:val="auto"/>
                <w:spacing w:val="-3"/>
                <w:sz w:val="24"/>
                <w:szCs w:val="24"/>
                <w:lang w:val="en-US" w:eastAsia="zh-CN"/>
              </w:rPr>
              <w:t>（5）每半年至少开展1次管道、阀门检查并除锈。</w:t>
            </w:r>
          </w:p>
          <w:p w14:paraId="2B56D937">
            <w:pPr>
              <w:pStyle w:val="11"/>
              <w:snapToGrid w:val="0"/>
              <w:spacing w:before="75" w:line="240" w:lineRule="auto"/>
              <w:ind w:left="0" w:leftChars="0" w:right="0" w:rightChars="0" w:firstLine="0" w:firstLineChars="0"/>
              <w:jc w:val="left"/>
              <w:rPr>
                <w:rFonts w:hint="eastAsia"/>
                <w:b w:val="0"/>
                <w:bCs/>
                <w:color w:val="auto"/>
                <w:spacing w:val="-3"/>
                <w:sz w:val="24"/>
                <w:szCs w:val="24"/>
                <w:lang w:val="en-US" w:eastAsia="zh-CN"/>
              </w:rPr>
            </w:pPr>
            <w:r>
              <w:rPr>
                <w:rFonts w:hint="eastAsia"/>
                <w:b w:val="0"/>
                <w:bCs/>
                <w:color w:val="auto"/>
                <w:spacing w:val="-3"/>
                <w:sz w:val="24"/>
                <w:szCs w:val="24"/>
                <w:lang w:val="en-US" w:eastAsia="zh-CN"/>
              </w:rPr>
              <w:t>（6）每年至少开展1次系统整体性维修养护，检验1次压力容器、仪表及冷却塔噪声。</w:t>
            </w:r>
          </w:p>
          <w:p w14:paraId="55E9FB85">
            <w:pPr>
              <w:pStyle w:val="11"/>
              <w:snapToGrid w:val="0"/>
              <w:spacing w:before="75" w:line="240" w:lineRule="auto"/>
              <w:ind w:left="0" w:leftChars="0" w:right="0" w:rightChars="0" w:firstLine="0" w:firstLineChars="0"/>
              <w:jc w:val="left"/>
              <w:rPr>
                <w:rFonts w:hint="eastAsia"/>
                <w:b w:val="0"/>
                <w:bCs/>
                <w:color w:val="auto"/>
                <w:spacing w:val="-3"/>
                <w:sz w:val="24"/>
                <w:szCs w:val="24"/>
                <w:lang w:val="en-US" w:eastAsia="zh-CN"/>
              </w:rPr>
            </w:pPr>
            <w:r>
              <w:rPr>
                <w:rFonts w:hint="eastAsia"/>
                <w:b w:val="0"/>
                <w:bCs/>
                <w:color w:val="auto"/>
                <w:spacing w:val="-3"/>
                <w:sz w:val="24"/>
                <w:szCs w:val="24"/>
                <w:lang w:val="en-US" w:eastAsia="zh-CN"/>
              </w:rPr>
              <w:t>（7）每年至少开展1次新风机、空气处理机滤网等清洗消毒；每2年至少开展1次风管清洗消毒。</w:t>
            </w:r>
          </w:p>
          <w:p w14:paraId="23A7D033">
            <w:pPr>
              <w:pStyle w:val="11"/>
              <w:snapToGrid w:val="0"/>
              <w:spacing w:before="75" w:line="240" w:lineRule="auto"/>
              <w:ind w:left="0" w:leftChars="0" w:right="0" w:rightChars="0" w:firstLine="0" w:firstLineChars="0"/>
              <w:jc w:val="left"/>
              <w:rPr>
                <w:rFonts w:hint="eastAsia"/>
                <w:b w:val="0"/>
                <w:bCs/>
                <w:color w:val="auto"/>
                <w:spacing w:val="-3"/>
                <w:sz w:val="24"/>
                <w:szCs w:val="24"/>
                <w:lang w:val="en-US" w:eastAsia="zh-CN"/>
              </w:rPr>
            </w:pPr>
            <w:r>
              <w:rPr>
                <w:rFonts w:hint="eastAsia"/>
                <w:b w:val="0"/>
                <w:bCs/>
                <w:color w:val="auto"/>
                <w:spacing w:val="-3"/>
                <w:sz w:val="24"/>
                <w:szCs w:val="24"/>
                <w:lang w:val="en-US" w:eastAsia="zh-CN"/>
              </w:rPr>
              <w:t>（8）每年至少开展1次分体式空调主机（含空调过滤网）和室外机清洁。每月至少开展1次挂机和室外支架稳固性巡查。</w:t>
            </w:r>
          </w:p>
          <w:p w14:paraId="09C9339F">
            <w:pPr>
              <w:pStyle w:val="11"/>
              <w:snapToGrid w:val="0"/>
              <w:spacing w:before="75" w:line="240" w:lineRule="auto"/>
              <w:ind w:left="0" w:leftChars="0" w:right="0" w:rightChars="0" w:firstLine="0" w:firstLineChars="0"/>
              <w:jc w:val="left"/>
              <w:rPr>
                <w:rFonts w:hint="eastAsia"/>
                <w:b w:val="0"/>
                <w:bCs/>
                <w:color w:val="auto"/>
                <w:spacing w:val="-3"/>
                <w:sz w:val="24"/>
                <w:szCs w:val="24"/>
                <w:lang w:val="en-US" w:eastAsia="zh-CN"/>
              </w:rPr>
            </w:pPr>
            <w:r>
              <w:rPr>
                <w:rFonts w:hint="eastAsia"/>
                <w:b w:val="0"/>
                <w:bCs/>
                <w:color w:val="auto"/>
                <w:spacing w:val="-3"/>
                <w:sz w:val="24"/>
                <w:szCs w:val="24"/>
                <w:lang w:val="en-US" w:eastAsia="zh-CN"/>
              </w:rPr>
              <w:t>（9）制冷、供暖系统温度设定及启用时间符合节能要求。</w:t>
            </w:r>
          </w:p>
          <w:p w14:paraId="71EC19A5">
            <w:pPr>
              <w:pStyle w:val="11"/>
              <w:snapToGrid w:val="0"/>
              <w:spacing w:before="75" w:line="240" w:lineRule="auto"/>
              <w:ind w:left="0" w:leftChars="0" w:right="0" w:rightChars="0" w:firstLine="0" w:firstLineChars="0"/>
              <w:jc w:val="left"/>
              <w:rPr>
                <w:rFonts w:hint="eastAsia"/>
                <w:b w:val="0"/>
                <w:bCs/>
                <w:color w:val="auto"/>
                <w:spacing w:val="-3"/>
                <w:sz w:val="24"/>
                <w:szCs w:val="24"/>
                <w:lang w:val="en-US" w:eastAsia="zh-CN"/>
              </w:rPr>
            </w:pPr>
            <w:r>
              <w:rPr>
                <w:rFonts w:hint="eastAsia"/>
                <w:b w:val="0"/>
                <w:bCs/>
                <w:color w:val="auto"/>
                <w:spacing w:val="-3"/>
                <w:sz w:val="24"/>
                <w:szCs w:val="24"/>
                <w:lang w:val="en-US" w:eastAsia="zh-CN"/>
              </w:rPr>
              <w:t>（10）发现故障或损坏应当在30分钟内到场，紧急维修应当在15分钟内到达现场，在12小时内维修完毕。</w:t>
            </w:r>
          </w:p>
        </w:tc>
      </w:tr>
      <w:tr w14:paraId="52F026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050" w:type="dxa"/>
            <w:noWrap w:val="0"/>
            <w:vAlign w:val="top"/>
          </w:tcPr>
          <w:p w14:paraId="3402DD65">
            <w:pPr>
              <w:pStyle w:val="11"/>
              <w:snapToGrid w:val="0"/>
              <w:spacing w:before="75" w:line="240" w:lineRule="auto"/>
              <w:ind w:left="0" w:leftChars="0" w:right="0" w:rightChars="0" w:firstLine="0" w:firstLineChars="0"/>
              <w:jc w:val="center"/>
              <w:rPr>
                <w:rFonts w:hint="eastAsia"/>
                <w:b w:val="0"/>
                <w:bCs/>
                <w:color w:val="auto"/>
                <w:spacing w:val="-3"/>
                <w:sz w:val="24"/>
                <w:szCs w:val="24"/>
                <w:lang w:val="en-US" w:eastAsia="zh-CN"/>
              </w:rPr>
            </w:pPr>
          </w:p>
          <w:p w14:paraId="01DD771D">
            <w:pPr>
              <w:pStyle w:val="11"/>
              <w:snapToGrid w:val="0"/>
              <w:spacing w:before="75" w:line="240" w:lineRule="auto"/>
              <w:ind w:left="0" w:leftChars="0" w:right="0" w:rightChars="0" w:firstLine="0" w:firstLineChars="0"/>
              <w:jc w:val="center"/>
              <w:rPr>
                <w:rFonts w:hint="eastAsia"/>
                <w:b w:val="0"/>
                <w:bCs/>
                <w:color w:val="auto"/>
                <w:spacing w:val="-3"/>
                <w:sz w:val="24"/>
                <w:szCs w:val="24"/>
                <w:lang w:val="en-US" w:eastAsia="zh-CN"/>
              </w:rPr>
            </w:pPr>
          </w:p>
          <w:p w14:paraId="534F2A39">
            <w:pPr>
              <w:pStyle w:val="11"/>
              <w:snapToGrid w:val="0"/>
              <w:spacing w:before="75" w:line="240" w:lineRule="auto"/>
              <w:ind w:left="0" w:leftChars="0" w:right="0" w:rightChars="0" w:firstLine="0" w:firstLineChars="0"/>
              <w:jc w:val="center"/>
              <w:rPr>
                <w:rFonts w:hint="eastAsia"/>
                <w:b w:val="0"/>
                <w:bCs/>
                <w:color w:val="auto"/>
                <w:spacing w:val="-3"/>
                <w:sz w:val="24"/>
                <w:szCs w:val="24"/>
                <w:lang w:val="en-US" w:eastAsia="zh-CN"/>
              </w:rPr>
            </w:pPr>
          </w:p>
          <w:p w14:paraId="729A6815">
            <w:pPr>
              <w:pStyle w:val="11"/>
              <w:snapToGrid w:val="0"/>
              <w:spacing w:before="75" w:line="240" w:lineRule="auto"/>
              <w:ind w:left="0" w:leftChars="0" w:right="0" w:rightChars="0" w:firstLine="0" w:firstLineChars="0"/>
              <w:jc w:val="center"/>
              <w:rPr>
                <w:rFonts w:hint="eastAsia"/>
                <w:b w:val="0"/>
                <w:bCs/>
                <w:color w:val="auto"/>
                <w:spacing w:val="-3"/>
                <w:sz w:val="24"/>
                <w:szCs w:val="24"/>
                <w:lang w:val="en-US" w:eastAsia="zh-CN"/>
              </w:rPr>
            </w:pPr>
          </w:p>
          <w:p w14:paraId="1AF49E72">
            <w:pPr>
              <w:pStyle w:val="11"/>
              <w:snapToGrid w:val="0"/>
              <w:spacing w:before="75" w:line="240" w:lineRule="auto"/>
              <w:ind w:left="0" w:leftChars="0" w:right="0" w:rightChars="0" w:firstLine="0" w:firstLineChars="0"/>
              <w:jc w:val="center"/>
              <w:rPr>
                <w:rFonts w:hint="eastAsia"/>
                <w:b w:val="0"/>
                <w:bCs/>
                <w:color w:val="auto"/>
                <w:spacing w:val="-3"/>
                <w:sz w:val="24"/>
                <w:szCs w:val="24"/>
                <w:lang w:val="en-US" w:eastAsia="zh-CN"/>
              </w:rPr>
            </w:pPr>
          </w:p>
          <w:p w14:paraId="569A9CF7">
            <w:pPr>
              <w:pStyle w:val="11"/>
              <w:snapToGrid w:val="0"/>
              <w:spacing w:before="75" w:line="240" w:lineRule="auto"/>
              <w:ind w:left="0" w:leftChars="0" w:right="0" w:rightChars="0" w:firstLine="0" w:firstLineChars="0"/>
              <w:jc w:val="center"/>
              <w:rPr>
                <w:rFonts w:hint="eastAsia"/>
                <w:b w:val="0"/>
                <w:bCs/>
                <w:color w:val="auto"/>
                <w:spacing w:val="-3"/>
                <w:sz w:val="24"/>
                <w:szCs w:val="24"/>
                <w:lang w:val="en-US" w:eastAsia="zh-CN"/>
              </w:rPr>
            </w:pPr>
            <w:r>
              <w:rPr>
                <w:rFonts w:hint="eastAsia"/>
                <w:b w:val="0"/>
                <w:bCs/>
                <w:color w:val="auto"/>
                <w:spacing w:val="-3"/>
                <w:sz w:val="24"/>
                <w:szCs w:val="24"/>
                <w:lang w:val="en-US" w:eastAsia="zh-CN"/>
              </w:rPr>
              <w:t>消防系统</w:t>
            </w:r>
          </w:p>
        </w:tc>
        <w:tc>
          <w:tcPr>
            <w:tcW w:w="7409" w:type="dxa"/>
            <w:noWrap w:val="0"/>
            <w:vAlign w:val="top"/>
          </w:tcPr>
          <w:p w14:paraId="340FE2F4">
            <w:pPr>
              <w:pStyle w:val="11"/>
              <w:snapToGrid w:val="0"/>
              <w:spacing w:before="75" w:line="240" w:lineRule="auto"/>
              <w:ind w:left="0" w:leftChars="0" w:right="0" w:rightChars="0" w:firstLine="0" w:firstLineChars="0"/>
              <w:jc w:val="left"/>
              <w:rPr>
                <w:rFonts w:hint="eastAsia"/>
                <w:b w:val="0"/>
                <w:bCs/>
                <w:color w:val="auto"/>
                <w:spacing w:val="-3"/>
                <w:sz w:val="24"/>
                <w:szCs w:val="24"/>
                <w:lang w:val="en-US" w:eastAsia="zh-CN"/>
              </w:rPr>
            </w:pPr>
            <w:r>
              <w:rPr>
                <w:rFonts w:hint="eastAsia"/>
                <w:b w:val="0"/>
                <w:bCs/>
                <w:color w:val="auto"/>
                <w:spacing w:val="-3"/>
                <w:sz w:val="24"/>
                <w:szCs w:val="24"/>
                <w:lang w:val="en-US" w:eastAsia="zh-CN"/>
              </w:rPr>
              <w:t>（1）消防设施的维护管理符合《建筑消防设施的维护管理》（GB25201）的相关要求。</w:t>
            </w:r>
          </w:p>
          <w:p w14:paraId="39AEFBA6">
            <w:pPr>
              <w:pStyle w:val="11"/>
              <w:snapToGrid w:val="0"/>
              <w:spacing w:before="75" w:line="240" w:lineRule="auto"/>
              <w:ind w:left="0" w:leftChars="0" w:right="0" w:rightChars="0" w:firstLine="0" w:firstLineChars="0"/>
              <w:jc w:val="left"/>
              <w:rPr>
                <w:rFonts w:hint="eastAsia"/>
                <w:b w:val="0"/>
                <w:bCs/>
                <w:color w:val="auto"/>
                <w:spacing w:val="-3"/>
                <w:sz w:val="24"/>
                <w:szCs w:val="24"/>
                <w:lang w:val="en-US" w:eastAsia="en-US"/>
              </w:rPr>
            </w:pPr>
            <w:r>
              <w:rPr>
                <w:rFonts w:hint="eastAsia"/>
                <w:b w:val="0"/>
                <w:bCs/>
                <w:color w:val="auto"/>
                <w:spacing w:val="-3"/>
                <w:sz w:val="24"/>
                <w:szCs w:val="24"/>
                <w:lang w:val="en-US" w:eastAsia="zh-CN"/>
              </w:rPr>
              <w:t>（2）消防设备检测符合《建筑消防设施检测技术规程》（GA503或XF503）的相关要求。</w:t>
            </w:r>
          </w:p>
          <w:p w14:paraId="5C57F1D8">
            <w:pPr>
              <w:pStyle w:val="11"/>
              <w:snapToGrid w:val="0"/>
              <w:spacing w:before="75" w:line="240" w:lineRule="auto"/>
              <w:ind w:left="0" w:leftChars="0" w:right="0" w:rightChars="0" w:firstLine="0" w:firstLineChars="0"/>
              <w:jc w:val="left"/>
              <w:rPr>
                <w:rFonts w:hint="eastAsia"/>
                <w:b w:val="0"/>
                <w:bCs/>
                <w:color w:val="auto"/>
                <w:spacing w:val="-3"/>
                <w:sz w:val="24"/>
                <w:szCs w:val="24"/>
                <w:lang w:val="en-US" w:eastAsia="en-US"/>
              </w:rPr>
            </w:pPr>
            <w:r>
              <w:rPr>
                <w:rFonts w:hint="eastAsia"/>
                <w:b w:val="0"/>
                <w:bCs/>
                <w:color w:val="auto"/>
                <w:spacing w:val="-3"/>
                <w:sz w:val="24"/>
                <w:szCs w:val="24"/>
                <w:lang w:val="en-US" w:eastAsia="zh-CN"/>
              </w:rPr>
              <w:t>（3）消防设施平面图、火警疏散示意图、防火分区图等按幢设置在楼层醒目位置。</w:t>
            </w:r>
          </w:p>
          <w:p w14:paraId="51A85DDE">
            <w:pPr>
              <w:pStyle w:val="11"/>
              <w:snapToGrid w:val="0"/>
              <w:spacing w:before="75" w:line="240" w:lineRule="auto"/>
              <w:ind w:left="0" w:leftChars="0" w:right="0" w:rightChars="0" w:firstLine="0" w:firstLineChars="0"/>
              <w:jc w:val="left"/>
              <w:rPr>
                <w:rFonts w:hint="eastAsia"/>
                <w:b w:val="0"/>
                <w:bCs/>
                <w:color w:val="auto"/>
                <w:spacing w:val="-3"/>
                <w:sz w:val="24"/>
                <w:szCs w:val="24"/>
                <w:lang w:val="en-US" w:eastAsia="en-US"/>
              </w:rPr>
            </w:pPr>
            <w:r>
              <w:rPr>
                <w:rFonts w:hint="eastAsia"/>
                <w:b w:val="0"/>
                <w:bCs/>
                <w:color w:val="auto"/>
                <w:spacing w:val="-3"/>
                <w:sz w:val="24"/>
                <w:szCs w:val="24"/>
                <w:lang w:val="en-US" w:eastAsia="zh-CN"/>
              </w:rPr>
              <w:t>（4）消防系统各设施设备使用说明清晰，宜图文结合。</w:t>
            </w:r>
          </w:p>
          <w:p w14:paraId="5E7CE069">
            <w:pPr>
              <w:pStyle w:val="11"/>
              <w:snapToGrid w:val="0"/>
              <w:spacing w:before="75" w:line="240" w:lineRule="auto"/>
              <w:ind w:left="0" w:leftChars="0" w:right="0" w:rightChars="0" w:firstLine="0" w:firstLineChars="0"/>
              <w:jc w:val="left"/>
              <w:rPr>
                <w:rFonts w:hint="eastAsia"/>
                <w:b w:val="0"/>
                <w:bCs/>
                <w:color w:val="auto"/>
                <w:spacing w:val="-3"/>
                <w:sz w:val="24"/>
                <w:szCs w:val="24"/>
                <w:lang w:val="en-US" w:eastAsia="en-US"/>
              </w:rPr>
            </w:pPr>
            <w:r>
              <w:rPr>
                <w:rFonts w:hint="eastAsia"/>
                <w:b w:val="0"/>
                <w:bCs/>
                <w:color w:val="auto"/>
                <w:spacing w:val="-3"/>
                <w:sz w:val="24"/>
                <w:szCs w:val="24"/>
                <w:lang w:val="en-US" w:eastAsia="zh-CN"/>
              </w:rPr>
              <w:t>（5）自动喷水灭火系统启动正常。</w:t>
            </w:r>
          </w:p>
          <w:p w14:paraId="35016976">
            <w:pPr>
              <w:pStyle w:val="11"/>
              <w:snapToGrid w:val="0"/>
              <w:spacing w:before="75" w:line="240" w:lineRule="auto"/>
              <w:ind w:left="0" w:leftChars="0" w:right="0" w:rightChars="0" w:firstLine="0" w:firstLineChars="0"/>
              <w:jc w:val="left"/>
              <w:rPr>
                <w:rFonts w:hint="eastAsia"/>
                <w:b w:val="0"/>
                <w:bCs/>
                <w:color w:val="auto"/>
                <w:spacing w:val="-3"/>
                <w:sz w:val="24"/>
                <w:szCs w:val="24"/>
                <w:lang w:val="en-US" w:eastAsia="en-US"/>
              </w:rPr>
            </w:pPr>
            <w:r>
              <w:rPr>
                <w:rFonts w:hint="eastAsia"/>
                <w:b w:val="0"/>
                <w:bCs/>
                <w:color w:val="auto"/>
                <w:spacing w:val="-3"/>
                <w:sz w:val="24"/>
                <w:szCs w:val="24"/>
                <w:lang w:val="en-US" w:eastAsia="zh-CN"/>
              </w:rPr>
              <w:t>（6）消火栓箱、防火门、灭火器、消防水泵、红外线报警器、应急照明、安全疏散等系统运行正常。</w:t>
            </w:r>
          </w:p>
          <w:p w14:paraId="405B2F0C">
            <w:pPr>
              <w:pStyle w:val="11"/>
              <w:snapToGrid w:val="0"/>
              <w:spacing w:before="75" w:line="240" w:lineRule="auto"/>
              <w:ind w:left="0" w:leftChars="0" w:right="0" w:rightChars="0" w:firstLine="0" w:firstLineChars="0"/>
              <w:jc w:val="left"/>
              <w:rPr>
                <w:rFonts w:hint="eastAsia"/>
                <w:b w:val="0"/>
                <w:bCs/>
                <w:color w:val="auto"/>
                <w:spacing w:val="-3"/>
                <w:sz w:val="24"/>
                <w:szCs w:val="24"/>
                <w:lang w:val="en-US" w:eastAsia="en-US"/>
              </w:rPr>
            </w:pPr>
            <w:r>
              <w:rPr>
                <w:rFonts w:hint="eastAsia"/>
                <w:b w:val="0"/>
                <w:bCs/>
                <w:color w:val="auto"/>
                <w:spacing w:val="-3"/>
                <w:sz w:val="24"/>
                <w:szCs w:val="24"/>
                <w:lang w:val="en-US" w:eastAsia="zh-CN"/>
              </w:rPr>
              <w:t>（7）消防监控系统运行良好，自动和手动报警设施启动正常。</w:t>
            </w:r>
          </w:p>
          <w:p w14:paraId="2844D596">
            <w:pPr>
              <w:pStyle w:val="11"/>
              <w:snapToGrid w:val="0"/>
              <w:spacing w:before="75" w:line="240" w:lineRule="auto"/>
              <w:ind w:left="0" w:leftChars="0" w:right="0" w:rightChars="0" w:firstLine="0" w:firstLineChars="0"/>
              <w:jc w:val="left"/>
              <w:rPr>
                <w:rFonts w:hint="eastAsia"/>
                <w:b w:val="0"/>
                <w:bCs/>
                <w:color w:val="auto"/>
                <w:spacing w:val="-3"/>
                <w:sz w:val="24"/>
                <w:szCs w:val="24"/>
                <w:lang w:val="en-US" w:eastAsia="zh-CN"/>
              </w:rPr>
            </w:pPr>
            <w:r>
              <w:rPr>
                <w:rFonts w:hint="eastAsia"/>
                <w:b w:val="0"/>
                <w:bCs/>
                <w:color w:val="auto"/>
                <w:spacing w:val="-3"/>
                <w:sz w:val="24"/>
                <w:szCs w:val="24"/>
                <w:lang w:val="en-US" w:eastAsia="zh-CN"/>
              </w:rPr>
              <w:t>（8）正压送风、防排烟系统运行正常。</w:t>
            </w:r>
          </w:p>
        </w:tc>
      </w:tr>
      <w:tr w14:paraId="56C97B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3" w:hRule="atLeast"/>
          <w:jc w:val="center"/>
        </w:trPr>
        <w:tc>
          <w:tcPr>
            <w:tcW w:w="1050" w:type="dxa"/>
            <w:noWrap w:val="0"/>
            <w:vAlign w:val="top"/>
          </w:tcPr>
          <w:p w14:paraId="062FE7A0">
            <w:pPr>
              <w:pStyle w:val="11"/>
              <w:snapToGrid w:val="0"/>
              <w:spacing w:before="75" w:line="240" w:lineRule="auto"/>
              <w:ind w:left="0" w:leftChars="0" w:right="0" w:rightChars="0" w:firstLine="0" w:firstLineChars="0"/>
              <w:jc w:val="center"/>
              <w:rPr>
                <w:rFonts w:hint="eastAsia"/>
                <w:b w:val="0"/>
                <w:bCs/>
                <w:color w:val="auto"/>
                <w:spacing w:val="-3"/>
                <w:sz w:val="24"/>
                <w:szCs w:val="24"/>
                <w:lang w:val="en-US" w:eastAsia="zh-CN"/>
              </w:rPr>
            </w:pPr>
          </w:p>
          <w:p w14:paraId="7425CF87">
            <w:pPr>
              <w:pStyle w:val="11"/>
              <w:snapToGrid w:val="0"/>
              <w:spacing w:before="75" w:line="240" w:lineRule="auto"/>
              <w:ind w:left="0" w:leftChars="0" w:right="0" w:rightChars="0" w:firstLine="0" w:firstLineChars="0"/>
              <w:jc w:val="center"/>
              <w:rPr>
                <w:rFonts w:hint="eastAsia"/>
                <w:b w:val="0"/>
                <w:bCs/>
                <w:color w:val="auto"/>
                <w:spacing w:val="-3"/>
                <w:sz w:val="24"/>
                <w:szCs w:val="24"/>
                <w:lang w:val="en-US" w:eastAsia="zh-CN"/>
              </w:rPr>
            </w:pPr>
          </w:p>
          <w:p w14:paraId="4381B68E">
            <w:pPr>
              <w:pStyle w:val="11"/>
              <w:snapToGrid w:val="0"/>
              <w:spacing w:before="75" w:line="240" w:lineRule="auto"/>
              <w:ind w:left="0" w:leftChars="0" w:right="0" w:rightChars="0" w:firstLine="0" w:firstLineChars="0"/>
              <w:jc w:val="center"/>
              <w:rPr>
                <w:rFonts w:hint="eastAsia"/>
                <w:b w:val="0"/>
                <w:bCs/>
                <w:color w:val="auto"/>
                <w:spacing w:val="-3"/>
                <w:sz w:val="24"/>
                <w:szCs w:val="24"/>
                <w:lang w:val="en-US" w:eastAsia="zh-CN"/>
              </w:rPr>
            </w:pPr>
          </w:p>
          <w:p w14:paraId="7E690ECB">
            <w:pPr>
              <w:pStyle w:val="11"/>
              <w:snapToGrid w:val="0"/>
              <w:spacing w:before="75" w:line="240" w:lineRule="auto"/>
              <w:ind w:left="0" w:leftChars="0" w:right="0" w:rightChars="0" w:firstLine="0" w:firstLineChars="0"/>
              <w:jc w:val="center"/>
              <w:rPr>
                <w:rFonts w:hint="eastAsia"/>
                <w:b w:val="0"/>
                <w:bCs/>
                <w:color w:val="auto"/>
                <w:spacing w:val="-3"/>
                <w:sz w:val="24"/>
                <w:szCs w:val="24"/>
                <w:lang w:val="en-US" w:eastAsia="zh-CN"/>
              </w:rPr>
            </w:pPr>
          </w:p>
          <w:p w14:paraId="083BAAA9">
            <w:pPr>
              <w:pStyle w:val="11"/>
              <w:snapToGrid w:val="0"/>
              <w:spacing w:before="75" w:line="240" w:lineRule="auto"/>
              <w:ind w:left="0" w:leftChars="0" w:right="0" w:rightChars="0" w:firstLine="0" w:firstLineChars="0"/>
              <w:jc w:val="center"/>
              <w:rPr>
                <w:rFonts w:hint="eastAsia"/>
                <w:b w:val="0"/>
                <w:bCs/>
                <w:color w:val="auto"/>
                <w:spacing w:val="-3"/>
                <w:sz w:val="24"/>
                <w:szCs w:val="24"/>
                <w:lang w:val="en-US" w:eastAsia="zh-CN"/>
              </w:rPr>
            </w:pPr>
            <w:r>
              <w:rPr>
                <w:rFonts w:hint="eastAsia"/>
                <w:b w:val="0"/>
                <w:bCs/>
                <w:color w:val="auto"/>
                <w:spacing w:val="-3"/>
                <w:sz w:val="24"/>
                <w:szCs w:val="24"/>
                <w:lang w:val="en-US" w:eastAsia="zh-CN"/>
              </w:rPr>
              <w:t>供配电系统</w:t>
            </w:r>
          </w:p>
        </w:tc>
        <w:tc>
          <w:tcPr>
            <w:tcW w:w="7409" w:type="dxa"/>
            <w:noWrap w:val="0"/>
            <w:vAlign w:val="top"/>
          </w:tcPr>
          <w:p w14:paraId="2B355C51">
            <w:pPr>
              <w:pStyle w:val="11"/>
              <w:snapToGrid w:val="0"/>
              <w:spacing w:before="75" w:line="240" w:lineRule="auto"/>
              <w:ind w:left="0" w:leftChars="0" w:right="0" w:rightChars="0" w:firstLine="0" w:firstLineChars="0"/>
              <w:jc w:val="left"/>
              <w:rPr>
                <w:rFonts w:hint="eastAsia"/>
                <w:b w:val="0"/>
                <w:bCs/>
                <w:color w:val="auto"/>
                <w:spacing w:val="-3"/>
                <w:sz w:val="24"/>
                <w:szCs w:val="24"/>
                <w:lang w:val="en-US" w:eastAsia="zh-CN"/>
              </w:rPr>
            </w:pPr>
            <w:r>
              <w:rPr>
                <w:rFonts w:hint="eastAsia"/>
                <w:b w:val="0"/>
                <w:bCs/>
                <w:color w:val="auto"/>
                <w:spacing w:val="-3"/>
                <w:sz w:val="24"/>
                <w:szCs w:val="24"/>
                <w:lang w:val="en-US" w:eastAsia="zh-CN"/>
              </w:rPr>
              <w:t>（1）建立24小时运行值班监控制度。</w:t>
            </w:r>
          </w:p>
          <w:p w14:paraId="1E30D347">
            <w:pPr>
              <w:pStyle w:val="11"/>
              <w:snapToGrid w:val="0"/>
              <w:spacing w:before="75" w:line="240" w:lineRule="auto"/>
              <w:ind w:left="0" w:leftChars="0" w:right="0" w:rightChars="0" w:firstLine="0" w:firstLineChars="0"/>
              <w:jc w:val="left"/>
              <w:rPr>
                <w:rFonts w:hint="eastAsia"/>
                <w:b w:val="0"/>
                <w:bCs/>
                <w:color w:val="auto"/>
                <w:spacing w:val="-3"/>
                <w:sz w:val="24"/>
                <w:szCs w:val="24"/>
                <w:lang w:val="en-US" w:eastAsia="en-US"/>
              </w:rPr>
            </w:pPr>
            <w:r>
              <w:rPr>
                <w:rFonts w:hint="eastAsia"/>
                <w:b w:val="0"/>
                <w:bCs/>
                <w:color w:val="auto"/>
                <w:spacing w:val="-3"/>
                <w:sz w:val="24"/>
                <w:szCs w:val="24"/>
                <w:lang w:val="en-US" w:eastAsia="zh-CN"/>
              </w:rPr>
              <w:t>（2）对供电范围内的电气设备定期巡视维护，加强高低压配电柜、配电箱、控制柜及线路等重点部位监测。</w:t>
            </w:r>
          </w:p>
          <w:p w14:paraId="1E18BCD2">
            <w:pPr>
              <w:pStyle w:val="11"/>
              <w:snapToGrid w:val="0"/>
              <w:spacing w:before="75" w:line="240" w:lineRule="auto"/>
              <w:ind w:left="0" w:leftChars="0" w:right="0" w:rightChars="0" w:firstLine="0" w:firstLineChars="0"/>
              <w:jc w:val="left"/>
              <w:rPr>
                <w:rFonts w:hint="eastAsia"/>
                <w:b w:val="0"/>
                <w:bCs/>
                <w:color w:val="auto"/>
                <w:spacing w:val="-3"/>
                <w:sz w:val="24"/>
                <w:szCs w:val="24"/>
                <w:lang w:val="en-US" w:eastAsia="en-US"/>
              </w:rPr>
            </w:pPr>
            <w:r>
              <w:rPr>
                <w:rFonts w:hint="eastAsia"/>
                <w:b w:val="0"/>
                <w:bCs/>
                <w:color w:val="auto"/>
                <w:spacing w:val="-3"/>
                <w:sz w:val="24"/>
                <w:szCs w:val="24"/>
                <w:lang w:val="en-US" w:eastAsia="zh-CN"/>
              </w:rPr>
              <w:t>（3）公共使用的照明、指示灯具线路、开关、接地等保持完好，确保用电安全。</w:t>
            </w:r>
          </w:p>
          <w:p w14:paraId="35B32D55">
            <w:pPr>
              <w:pStyle w:val="11"/>
              <w:snapToGrid w:val="0"/>
              <w:spacing w:before="75" w:line="240" w:lineRule="auto"/>
              <w:ind w:left="0" w:leftChars="0" w:right="0" w:rightChars="0" w:firstLine="0" w:firstLineChars="0"/>
              <w:jc w:val="left"/>
              <w:rPr>
                <w:rFonts w:hint="eastAsia"/>
                <w:b w:val="0"/>
                <w:bCs/>
                <w:color w:val="auto"/>
                <w:spacing w:val="-3"/>
                <w:sz w:val="24"/>
                <w:szCs w:val="24"/>
                <w:lang w:val="en-US" w:eastAsia="en-US"/>
              </w:rPr>
            </w:pPr>
            <w:r>
              <w:rPr>
                <w:rFonts w:hint="eastAsia"/>
                <w:b w:val="0"/>
                <w:bCs/>
                <w:color w:val="auto"/>
                <w:spacing w:val="-3"/>
                <w:sz w:val="24"/>
                <w:szCs w:val="24"/>
                <w:lang w:val="en-US" w:eastAsia="zh-CN"/>
              </w:rPr>
              <w:t>（4）核心部位用电建立高可控用电保障和配备应急发电设备，定期维护应急发电设备。</w:t>
            </w:r>
          </w:p>
          <w:p w14:paraId="799BAD95">
            <w:pPr>
              <w:pStyle w:val="11"/>
              <w:snapToGrid w:val="0"/>
              <w:spacing w:before="75" w:line="240" w:lineRule="auto"/>
              <w:ind w:left="0" w:leftChars="0" w:right="0" w:rightChars="0" w:firstLine="0" w:firstLineChars="0"/>
              <w:jc w:val="left"/>
              <w:rPr>
                <w:rFonts w:hint="eastAsia"/>
                <w:b w:val="0"/>
                <w:bCs/>
                <w:color w:val="auto"/>
                <w:spacing w:val="-3"/>
                <w:sz w:val="24"/>
                <w:szCs w:val="24"/>
                <w:lang w:val="en-US" w:eastAsia="en-US"/>
              </w:rPr>
            </w:pPr>
            <w:r>
              <w:rPr>
                <w:rFonts w:hint="eastAsia"/>
                <w:b w:val="0"/>
                <w:bCs/>
                <w:color w:val="auto"/>
                <w:spacing w:val="-3"/>
                <w:sz w:val="24"/>
                <w:szCs w:val="24"/>
                <w:lang w:val="en-US" w:eastAsia="zh-CN"/>
              </w:rPr>
              <w:t>（5）发生非计划性停电的，应当在事件发生后及时通知采购人，快速恢复或启用应急电源，并做好应急事件上报及处理工作。</w:t>
            </w:r>
          </w:p>
          <w:p w14:paraId="64DCE1B0">
            <w:pPr>
              <w:pStyle w:val="11"/>
              <w:snapToGrid w:val="0"/>
              <w:spacing w:before="75" w:line="240" w:lineRule="auto"/>
              <w:ind w:left="0" w:leftChars="0" w:right="0" w:rightChars="0" w:firstLine="0" w:firstLineChars="0"/>
              <w:jc w:val="left"/>
              <w:rPr>
                <w:rFonts w:hint="eastAsia"/>
                <w:b w:val="0"/>
                <w:bCs/>
                <w:color w:val="auto"/>
                <w:spacing w:val="-3"/>
                <w:sz w:val="24"/>
                <w:szCs w:val="24"/>
                <w:lang w:val="en-US" w:eastAsia="zh-CN"/>
              </w:rPr>
            </w:pPr>
            <w:r>
              <w:rPr>
                <w:rFonts w:hint="eastAsia"/>
                <w:b w:val="0"/>
                <w:bCs/>
                <w:color w:val="auto"/>
                <w:spacing w:val="-3"/>
                <w:sz w:val="24"/>
                <w:szCs w:val="24"/>
                <w:lang w:val="en-US" w:eastAsia="zh-CN"/>
              </w:rPr>
              <w:t>（6）复杂故障涉及供电部门维修处置的及时与供电部门联系，并向采购人报告。</w:t>
            </w:r>
          </w:p>
        </w:tc>
      </w:tr>
      <w:tr w14:paraId="406F6A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27" w:hRule="atLeast"/>
          <w:jc w:val="center"/>
        </w:trPr>
        <w:tc>
          <w:tcPr>
            <w:tcW w:w="1050" w:type="dxa"/>
            <w:noWrap w:val="0"/>
            <w:vAlign w:val="top"/>
          </w:tcPr>
          <w:p w14:paraId="07A4E53A">
            <w:pPr>
              <w:pStyle w:val="11"/>
              <w:snapToGrid w:val="0"/>
              <w:spacing w:before="75" w:line="240" w:lineRule="auto"/>
              <w:ind w:left="0" w:leftChars="0" w:right="0" w:rightChars="0" w:firstLine="0" w:firstLineChars="0"/>
              <w:jc w:val="center"/>
              <w:rPr>
                <w:rFonts w:hint="eastAsia"/>
                <w:b w:val="0"/>
                <w:bCs/>
                <w:color w:val="auto"/>
                <w:spacing w:val="-3"/>
                <w:sz w:val="24"/>
                <w:szCs w:val="24"/>
                <w:lang w:val="en-US" w:eastAsia="zh-CN"/>
              </w:rPr>
            </w:pPr>
          </w:p>
          <w:p w14:paraId="190F2694">
            <w:pPr>
              <w:pStyle w:val="11"/>
              <w:snapToGrid w:val="0"/>
              <w:spacing w:before="75" w:line="240" w:lineRule="auto"/>
              <w:ind w:left="0" w:leftChars="0" w:right="0" w:rightChars="0" w:firstLine="0" w:firstLineChars="0"/>
              <w:jc w:val="center"/>
              <w:rPr>
                <w:rFonts w:hint="eastAsia"/>
                <w:b w:val="0"/>
                <w:bCs/>
                <w:color w:val="auto"/>
                <w:spacing w:val="-3"/>
                <w:sz w:val="24"/>
                <w:szCs w:val="24"/>
                <w:lang w:val="en-US" w:eastAsia="zh-CN"/>
              </w:rPr>
            </w:pPr>
            <w:r>
              <w:rPr>
                <w:rFonts w:hint="eastAsia"/>
                <w:b w:val="0"/>
                <w:bCs/>
                <w:color w:val="auto"/>
                <w:spacing w:val="-3"/>
                <w:sz w:val="24"/>
                <w:szCs w:val="24"/>
                <w:lang w:val="en-US" w:eastAsia="zh-CN"/>
              </w:rPr>
              <w:t>弱电系统</w:t>
            </w:r>
          </w:p>
        </w:tc>
        <w:tc>
          <w:tcPr>
            <w:tcW w:w="7409" w:type="dxa"/>
            <w:noWrap w:val="0"/>
            <w:vAlign w:val="top"/>
          </w:tcPr>
          <w:p w14:paraId="6DBC721B">
            <w:pPr>
              <w:pStyle w:val="11"/>
              <w:snapToGrid w:val="0"/>
              <w:spacing w:before="75" w:line="240" w:lineRule="auto"/>
              <w:ind w:left="0" w:leftChars="0" w:right="0" w:rightChars="0" w:firstLine="0" w:firstLineChars="0"/>
              <w:jc w:val="left"/>
              <w:rPr>
                <w:rFonts w:hint="eastAsia"/>
                <w:b w:val="0"/>
                <w:bCs/>
                <w:color w:val="auto"/>
                <w:spacing w:val="-3"/>
                <w:sz w:val="24"/>
                <w:szCs w:val="24"/>
                <w:lang w:val="en-US" w:eastAsia="zh-CN"/>
              </w:rPr>
            </w:pPr>
            <w:r>
              <w:rPr>
                <w:rFonts w:hint="eastAsia"/>
                <w:b w:val="0"/>
                <w:bCs/>
                <w:color w:val="auto"/>
                <w:spacing w:val="-3"/>
                <w:sz w:val="24"/>
                <w:szCs w:val="24"/>
                <w:lang w:val="en-US" w:eastAsia="zh-CN"/>
              </w:rPr>
              <w:t>（1）安全防范系统维护保养符合《安全防范系统维护保养规范》（GA/T1081）的相关要求。</w:t>
            </w:r>
          </w:p>
          <w:p w14:paraId="40D4B2C9">
            <w:pPr>
              <w:pStyle w:val="11"/>
              <w:snapToGrid w:val="0"/>
              <w:spacing w:before="75" w:line="240" w:lineRule="auto"/>
              <w:ind w:left="0" w:leftChars="0" w:right="0" w:rightChars="0" w:firstLine="0" w:firstLineChars="0"/>
              <w:jc w:val="left"/>
              <w:rPr>
                <w:rFonts w:hint="eastAsia"/>
                <w:b w:val="0"/>
                <w:bCs/>
                <w:color w:val="auto"/>
                <w:spacing w:val="-3"/>
                <w:sz w:val="24"/>
                <w:szCs w:val="24"/>
                <w:lang w:val="en-US" w:eastAsia="zh-CN"/>
              </w:rPr>
            </w:pPr>
            <w:r>
              <w:rPr>
                <w:rFonts w:hint="eastAsia"/>
                <w:b w:val="0"/>
                <w:bCs/>
                <w:color w:val="auto"/>
                <w:spacing w:val="-3"/>
                <w:sz w:val="24"/>
                <w:szCs w:val="24"/>
                <w:lang w:val="en-US" w:eastAsia="zh-CN"/>
              </w:rPr>
              <w:t>（2）保持监控系统、门禁系统、安全防范系统等运行正常，有故障及时排除。</w:t>
            </w:r>
          </w:p>
        </w:tc>
      </w:tr>
    </w:tbl>
    <w:p w14:paraId="171DA54A">
      <w:pPr>
        <w:pStyle w:val="10"/>
        <w:rPr>
          <w:rFonts w:hint="eastAsia"/>
          <w:lang w:val="en-US" w:eastAsia="zh-CN"/>
        </w:rPr>
      </w:pPr>
    </w:p>
    <w:p w14:paraId="48C37B94">
      <w:pPr>
        <w:keepNext w:val="0"/>
        <w:keepLines w:val="0"/>
        <w:pageBreakBefore w:val="0"/>
        <w:widowControl w:val="0"/>
        <w:numPr>
          <w:ilvl w:val="0"/>
          <w:numId w:val="2"/>
        </w:numPr>
        <w:kinsoku/>
        <w:wordWrap/>
        <w:overflowPunct/>
        <w:topLinePunct w:val="0"/>
        <w:autoSpaceDE/>
        <w:autoSpaceDN/>
        <w:bidi w:val="0"/>
        <w:adjustRightInd/>
        <w:snapToGrid/>
        <w:spacing w:before="721" w:beforeLines="200" w:line="240" w:lineRule="auto"/>
        <w:ind w:left="0" w:firstLine="482"/>
        <w:jc w:val="left"/>
        <w:textAlignment w:val="auto"/>
        <w:rPr>
          <w:rFonts w:hint="eastAsia" w:ascii="宋体" w:hAnsi="宋体" w:eastAsia="宋体" w:cs="宋体"/>
          <w:b/>
          <w:bCs/>
          <w:i w:val="0"/>
          <w:strike w:val="0"/>
          <w:color w:val="auto"/>
          <w:sz w:val="24"/>
          <w:szCs w:val="24"/>
          <w:u w:val="none"/>
          <w:lang w:val="en-US" w:eastAsia="zh-CN"/>
        </w:rPr>
      </w:pPr>
      <w:r>
        <w:rPr>
          <w:rFonts w:hint="eastAsia" w:ascii="宋体" w:hAnsi="宋体" w:eastAsia="宋体" w:cs="宋体"/>
          <w:b/>
          <w:bCs/>
          <w:i w:val="0"/>
          <w:strike w:val="0"/>
          <w:color w:val="auto"/>
          <w:sz w:val="24"/>
          <w:szCs w:val="24"/>
          <w:u w:val="none"/>
          <w:lang w:val="en-US" w:eastAsia="zh-CN"/>
        </w:rPr>
        <w:t>保洁服务</w:t>
      </w:r>
    </w:p>
    <w:tbl>
      <w:tblPr>
        <w:tblStyle w:val="8"/>
        <w:tblpPr w:leftFromText="180" w:rightFromText="180" w:vertAnchor="text" w:horzAnchor="page" w:tblpX="1810" w:tblpY="1906"/>
        <w:tblW w:w="8460" w:type="dxa"/>
        <w:tblInd w:w="0" w:type="dxa"/>
        <w:tblLayout w:type="fixed"/>
        <w:tblCellMar>
          <w:top w:w="0" w:type="dxa"/>
          <w:left w:w="108" w:type="dxa"/>
          <w:bottom w:w="0" w:type="dxa"/>
          <w:right w:w="108" w:type="dxa"/>
        </w:tblCellMar>
      </w:tblPr>
      <w:tblGrid>
        <w:gridCol w:w="1200"/>
        <w:gridCol w:w="7260"/>
      </w:tblGrid>
      <w:tr w14:paraId="51D23628">
        <w:tblPrEx>
          <w:tblCellMar>
            <w:top w:w="0" w:type="dxa"/>
            <w:left w:w="108" w:type="dxa"/>
            <w:bottom w:w="0" w:type="dxa"/>
            <w:right w:w="108" w:type="dxa"/>
          </w:tblCellMar>
        </w:tblPrEx>
        <w:trPr>
          <w:trHeight w:val="477" w:hRule="atLeast"/>
        </w:trPr>
        <w:tc>
          <w:tcPr>
            <w:tcW w:w="120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A9A0A10">
            <w:pPr>
              <w:widowControl/>
              <w:jc w:val="left"/>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服务内容</w:t>
            </w:r>
          </w:p>
        </w:tc>
        <w:tc>
          <w:tcPr>
            <w:tcW w:w="7260" w:type="dxa"/>
            <w:tcBorders>
              <w:top w:val="single" w:color="auto" w:sz="4" w:space="0"/>
              <w:left w:val="nil"/>
              <w:bottom w:val="single" w:color="auto" w:sz="4" w:space="0"/>
              <w:right w:val="single" w:color="auto" w:sz="4" w:space="0"/>
            </w:tcBorders>
            <w:shd w:val="clear" w:color="auto" w:fill="auto"/>
            <w:noWrap w:val="0"/>
            <w:vAlign w:val="center"/>
          </w:tcPr>
          <w:p w14:paraId="653F493C">
            <w:pPr>
              <w:widowControl/>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auto"/>
                <w:spacing w:val="-2"/>
                <w:sz w:val="24"/>
                <w:szCs w:val="24"/>
              </w:rPr>
              <w:t>服务标准</w:t>
            </w:r>
          </w:p>
        </w:tc>
      </w:tr>
      <w:tr w14:paraId="54F26953">
        <w:tblPrEx>
          <w:tblCellMar>
            <w:top w:w="0" w:type="dxa"/>
            <w:left w:w="108" w:type="dxa"/>
            <w:bottom w:w="0" w:type="dxa"/>
            <w:right w:w="108" w:type="dxa"/>
          </w:tblCellMar>
        </w:tblPrEx>
        <w:trPr>
          <w:trHeight w:val="1406" w:hRule="atLeast"/>
        </w:trPr>
        <w:tc>
          <w:tcPr>
            <w:tcW w:w="1200" w:type="dxa"/>
            <w:tcBorders>
              <w:top w:val="nil"/>
              <w:left w:val="single" w:color="auto" w:sz="4" w:space="0"/>
              <w:bottom w:val="single" w:color="auto" w:sz="4" w:space="0"/>
              <w:right w:val="single" w:color="auto" w:sz="4" w:space="0"/>
            </w:tcBorders>
            <w:shd w:val="clear" w:color="auto" w:fill="auto"/>
            <w:noWrap w:val="0"/>
            <w:vAlign w:val="center"/>
          </w:tcPr>
          <w:p w14:paraId="5AC335FA">
            <w:pPr>
              <w:widowControl/>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公共区域卫生及垃圾清理</w:t>
            </w:r>
          </w:p>
        </w:tc>
        <w:tc>
          <w:tcPr>
            <w:tcW w:w="7260" w:type="dxa"/>
            <w:tcBorders>
              <w:top w:val="nil"/>
              <w:left w:val="nil"/>
              <w:bottom w:val="single" w:color="auto" w:sz="4" w:space="0"/>
              <w:right w:val="single" w:color="auto" w:sz="4" w:space="0"/>
            </w:tcBorders>
            <w:shd w:val="clear" w:color="auto" w:fill="auto"/>
            <w:noWrap w:val="0"/>
            <w:vAlign w:val="center"/>
          </w:tcPr>
          <w:p w14:paraId="4CC1E72D">
            <w:pPr>
              <w:pStyle w:val="11"/>
              <w:numPr>
                <w:ilvl w:val="0"/>
                <w:numId w:val="0"/>
              </w:numPr>
              <w:spacing w:before="74" w:line="191" w:lineRule="auto"/>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rPr>
              <w:t>（1）大厅、楼内公共通道：①公共通道保持干净，无异味、无杂物、无积水，每日至少开展1次清洁作业。②门窗玻璃干净无尘，透光性好，每周至少开展1次清洁作业。③指示牌干净，无污渍，每日至少开展1次清洁作业。</w:t>
            </w:r>
          </w:p>
          <w:p w14:paraId="4FD30876">
            <w:pPr>
              <w:pStyle w:val="11"/>
              <w:numPr>
                <w:ilvl w:val="0"/>
                <w:numId w:val="0"/>
              </w:numPr>
              <w:spacing w:before="74" w:line="191" w:lineRule="auto"/>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rPr>
              <w:t>（2）电器、消防等设施设备：①配电箱、设备机房、会议室音视频设备、消防栓及开关插座等保持表面干净，无尘无污迹，每月至少开展1次清洁作业。②监控摄像头、门禁系统等表面光亮，无尘、无斑点，每月至少开展1次清洁作业。</w:t>
            </w:r>
          </w:p>
          <w:p w14:paraId="2EF58EA8">
            <w:pPr>
              <w:pStyle w:val="11"/>
              <w:numPr>
                <w:ilvl w:val="0"/>
                <w:numId w:val="0"/>
              </w:numPr>
              <w:spacing w:before="74" w:line="191" w:lineRule="auto"/>
              <w:rPr>
                <w:rFonts w:hint="eastAsia" w:ascii="宋体" w:hAnsi="宋体" w:eastAsia="宋体" w:cs="宋体"/>
                <w:color w:val="auto"/>
                <w:spacing w:val="-2"/>
                <w:sz w:val="24"/>
                <w:szCs w:val="24"/>
              </w:rPr>
            </w:pPr>
            <w:r>
              <w:rPr>
                <w:rFonts w:hint="eastAsia" w:cs="宋体"/>
                <w:color w:val="auto"/>
                <w:spacing w:val="-2"/>
                <w:sz w:val="24"/>
                <w:szCs w:val="24"/>
                <w:lang w:eastAsia="zh-CN"/>
              </w:rPr>
              <w:t>（</w:t>
            </w:r>
            <w:r>
              <w:rPr>
                <w:rFonts w:hint="eastAsia" w:cs="宋体"/>
                <w:color w:val="auto"/>
                <w:spacing w:val="-2"/>
                <w:sz w:val="24"/>
                <w:szCs w:val="24"/>
                <w:lang w:val="en-US" w:eastAsia="zh-CN"/>
              </w:rPr>
              <w:t>3</w:t>
            </w:r>
            <w:r>
              <w:rPr>
                <w:rFonts w:hint="eastAsia" w:cs="宋体"/>
                <w:color w:val="auto"/>
                <w:spacing w:val="-2"/>
                <w:sz w:val="24"/>
                <w:szCs w:val="24"/>
                <w:lang w:eastAsia="zh-CN"/>
              </w:rPr>
              <w:t>）</w:t>
            </w:r>
            <w:r>
              <w:rPr>
                <w:rFonts w:hint="eastAsia" w:ascii="宋体" w:hAnsi="宋体" w:eastAsia="宋体" w:cs="宋体"/>
                <w:color w:val="auto"/>
                <w:spacing w:val="-2"/>
                <w:sz w:val="24"/>
                <w:szCs w:val="24"/>
              </w:rPr>
              <w:t>楼梯及楼梯间保持干净、无异味、无杂物、无积水，每日至少开展1次清洁作业。</w:t>
            </w:r>
          </w:p>
          <w:p w14:paraId="292C488B">
            <w:pPr>
              <w:pStyle w:val="11"/>
              <w:numPr>
                <w:ilvl w:val="0"/>
                <w:numId w:val="0"/>
              </w:numPr>
              <w:spacing w:before="74" w:line="191" w:lineRule="auto"/>
              <w:rPr>
                <w:rFonts w:hint="eastAsia" w:ascii="宋体" w:hAnsi="宋体" w:eastAsia="宋体" w:cs="宋体"/>
                <w:color w:val="auto"/>
                <w:spacing w:val="-2"/>
                <w:sz w:val="24"/>
                <w:szCs w:val="24"/>
              </w:rPr>
            </w:pPr>
            <w:r>
              <w:rPr>
                <w:rFonts w:hint="eastAsia" w:cs="宋体"/>
                <w:color w:val="auto"/>
                <w:spacing w:val="-2"/>
                <w:sz w:val="24"/>
                <w:szCs w:val="24"/>
                <w:lang w:eastAsia="zh-CN"/>
              </w:rPr>
              <w:t>（</w:t>
            </w:r>
            <w:r>
              <w:rPr>
                <w:rFonts w:hint="eastAsia" w:cs="宋体"/>
                <w:color w:val="auto"/>
                <w:spacing w:val="-2"/>
                <w:sz w:val="24"/>
                <w:szCs w:val="24"/>
                <w:lang w:val="en-US" w:eastAsia="zh-CN"/>
              </w:rPr>
              <w:t>4</w:t>
            </w:r>
            <w:r>
              <w:rPr>
                <w:rFonts w:hint="eastAsia" w:cs="宋体"/>
                <w:color w:val="auto"/>
                <w:spacing w:val="-2"/>
                <w:sz w:val="24"/>
                <w:szCs w:val="24"/>
                <w:lang w:eastAsia="zh-CN"/>
              </w:rPr>
              <w:t>）</w:t>
            </w:r>
            <w:r>
              <w:rPr>
                <w:rFonts w:hint="eastAsia" w:ascii="宋体" w:hAnsi="宋体" w:eastAsia="宋体" w:cs="宋体"/>
                <w:color w:val="auto"/>
                <w:spacing w:val="-2"/>
                <w:sz w:val="24"/>
                <w:szCs w:val="24"/>
              </w:rPr>
              <w:t>开水间保持干净、无异味、无杂物、无积水，每日至少开展1次清洁作业。</w:t>
            </w:r>
          </w:p>
          <w:p w14:paraId="321B184C">
            <w:pPr>
              <w:pStyle w:val="11"/>
              <w:numPr>
                <w:ilvl w:val="0"/>
                <w:numId w:val="0"/>
              </w:numPr>
              <w:spacing w:before="74" w:line="191" w:lineRule="auto"/>
              <w:rPr>
                <w:rFonts w:hint="eastAsia" w:ascii="宋体" w:hAnsi="宋体" w:eastAsia="宋体" w:cs="宋体"/>
                <w:color w:val="auto"/>
                <w:spacing w:val="-2"/>
                <w:sz w:val="24"/>
                <w:szCs w:val="24"/>
              </w:rPr>
            </w:pPr>
            <w:r>
              <w:rPr>
                <w:rFonts w:hint="eastAsia" w:cs="宋体"/>
                <w:color w:val="auto"/>
                <w:spacing w:val="-2"/>
                <w:sz w:val="24"/>
                <w:szCs w:val="24"/>
                <w:lang w:eastAsia="zh-CN"/>
              </w:rPr>
              <w:t>（</w:t>
            </w:r>
            <w:r>
              <w:rPr>
                <w:rFonts w:hint="eastAsia" w:cs="宋体"/>
                <w:color w:val="auto"/>
                <w:spacing w:val="-2"/>
                <w:sz w:val="24"/>
                <w:szCs w:val="24"/>
                <w:lang w:val="en-US" w:eastAsia="zh-CN"/>
              </w:rPr>
              <w:t>5</w:t>
            </w:r>
            <w:r>
              <w:rPr>
                <w:rFonts w:hint="eastAsia" w:cs="宋体"/>
                <w:color w:val="auto"/>
                <w:spacing w:val="-2"/>
                <w:sz w:val="24"/>
                <w:szCs w:val="24"/>
                <w:lang w:eastAsia="zh-CN"/>
              </w:rPr>
              <w:t>）</w:t>
            </w:r>
            <w:r>
              <w:rPr>
                <w:rFonts w:hint="eastAsia" w:ascii="宋体" w:hAnsi="宋体" w:eastAsia="宋体" w:cs="宋体"/>
                <w:color w:val="auto"/>
                <w:spacing w:val="-2"/>
                <w:sz w:val="24"/>
                <w:szCs w:val="24"/>
              </w:rPr>
              <w:t>作业工具间：①保持干净，无异味、无杂物、无积水，每日至少开展1次清洁作业。②作业工具摆放整齐有序，表面干净无渍，每日消毒。</w:t>
            </w:r>
          </w:p>
          <w:p w14:paraId="225A3607">
            <w:pPr>
              <w:pStyle w:val="11"/>
              <w:numPr>
                <w:ilvl w:val="0"/>
                <w:numId w:val="0"/>
              </w:numPr>
              <w:spacing w:before="74" w:line="191" w:lineRule="auto"/>
              <w:rPr>
                <w:rFonts w:hint="eastAsia" w:ascii="宋体" w:hAnsi="宋体" w:eastAsia="宋体" w:cs="宋体"/>
                <w:color w:val="auto"/>
                <w:spacing w:val="-2"/>
                <w:sz w:val="24"/>
                <w:szCs w:val="24"/>
              </w:rPr>
            </w:pPr>
            <w:r>
              <w:rPr>
                <w:rFonts w:hint="eastAsia" w:cs="宋体"/>
                <w:color w:val="auto"/>
                <w:spacing w:val="-2"/>
                <w:sz w:val="24"/>
                <w:szCs w:val="24"/>
                <w:lang w:val="en-US" w:eastAsia="zh-CN" w:bidi="ar-SA"/>
              </w:rPr>
              <w:t>（6）</w:t>
            </w:r>
            <w:r>
              <w:rPr>
                <w:rFonts w:hint="eastAsia" w:ascii="宋体" w:hAnsi="宋体" w:eastAsia="宋体" w:cs="宋体"/>
                <w:color w:val="auto"/>
                <w:spacing w:val="-2"/>
                <w:sz w:val="24"/>
                <w:szCs w:val="24"/>
              </w:rPr>
              <w:t>公共卫生间：①保持干净，无异味，垃圾无溢出，每日至少开展1次清洁作业。②及时补充厕纸等必要用品。</w:t>
            </w:r>
          </w:p>
          <w:p w14:paraId="6AD74E75">
            <w:pPr>
              <w:pStyle w:val="11"/>
              <w:numPr>
                <w:ilvl w:val="0"/>
                <w:numId w:val="0"/>
              </w:numPr>
              <w:spacing w:before="74" w:line="191" w:lineRule="auto"/>
              <w:rPr>
                <w:rFonts w:hint="eastAsia" w:ascii="宋体" w:hAnsi="宋体" w:eastAsia="宋体" w:cs="宋体"/>
                <w:color w:val="auto"/>
                <w:spacing w:val="-2"/>
                <w:sz w:val="24"/>
                <w:szCs w:val="24"/>
              </w:rPr>
            </w:pPr>
            <w:r>
              <w:rPr>
                <w:rFonts w:hint="eastAsia" w:cs="宋体"/>
                <w:color w:val="auto"/>
                <w:spacing w:val="-2"/>
                <w:sz w:val="24"/>
                <w:szCs w:val="24"/>
                <w:lang w:eastAsia="zh-CN"/>
              </w:rPr>
              <w:t>（</w:t>
            </w:r>
            <w:r>
              <w:rPr>
                <w:rFonts w:hint="eastAsia" w:cs="宋体"/>
                <w:color w:val="auto"/>
                <w:spacing w:val="-2"/>
                <w:sz w:val="24"/>
                <w:szCs w:val="24"/>
                <w:lang w:val="en-US" w:eastAsia="zh-CN"/>
              </w:rPr>
              <w:t>7</w:t>
            </w:r>
            <w:r>
              <w:rPr>
                <w:rFonts w:hint="eastAsia" w:cs="宋体"/>
                <w:color w:val="auto"/>
                <w:spacing w:val="-2"/>
                <w:sz w:val="24"/>
                <w:szCs w:val="24"/>
                <w:lang w:eastAsia="zh-CN"/>
              </w:rPr>
              <w:t>）</w:t>
            </w:r>
            <w:r>
              <w:rPr>
                <w:rFonts w:hint="eastAsia" w:ascii="宋体" w:hAnsi="宋体" w:eastAsia="宋体" w:cs="宋体"/>
                <w:color w:val="auto"/>
                <w:spacing w:val="-2"/>
                <w:sz w:val="24"/>
                <w:szCs w:val="24"/>
              </w:rPr>
              <w:t>电梯轿厢：①保持干净，无污渍、无粘贴物、无异味，每日至少开展1次清洁作业。②灯具、操作指示板明亮。</w:t>
            </w:r>
          </w:p>
          <w:p w14:paraId="5FCDB23F">
            <w:pPr>
              <w:pStyle w:val="11"/>
              <w:numPr>
                <w:ilvl w:val="0"/>
                <w:numId w:val="0"/>
              </w:numPr>
              <w:spacing w:before="74" w:line="191" w:lineRule="auto"/>
              <w:rPr>
                <w:rFonts w:hint="eastAsia" w:ascii="宋体" w:hAnsi="宋体" w:eastAsia="宋体" w:cs="宋体"/>
                <w:color w:val="auto"/>
                <w:spacing w:val="-2"/>
                <w:sz w:val="24"/>
                <w:szCs w:val="24"/>
              </w:rPr>
            </w:pPr>
            <w:r>
              <w:rPr>
                <w:rFonts w:hint="eastAsia" w:cs="宋体"/>
                <w:color w:val="auto"/>
                <w:spacing w:val="-2"/>
                <w:sz w:val="24"/>
                <w:szCs w:val="24"/>
                <w:lang w:eastAsia="zh-CN"/>
              </w:rPr>
              <w:t>（</w:t>
            </w:r>
            <w:r>
              <w:rPr>
                <w:rFonts w:hint="eastAsia" w:cs="宋体"/>
                <w:color w:val="auto"/>
                <w:spacing w:val="-2"/>
                <w:sz w:val="24"/>
                <w:szCs w:val="24"/>
                <w:lang w:val="en-US" w:eastAsia="zh-CN"/>
              </w:rPr>
              <w:t>8</w:t>
            </w:r>
            <w:r>
              <w:rPr>
                <w:rFonts w:hint="eastAsia" w:cs="宋体"/>
                <w:color w:val="auto"/>
                <w:spacing w:val="-2"/>
                <w:sz w:val="24"/>
                <w:szCs w:val="24"/>
                <w:lang w:eastAsia="zh-CN"/>
              </w:rPr>
              <w:t>）</w:t>
            </w:r>
            <w:r>
              <w:rPr>
                <w:rFonts w:hint="eastAsia" w:ascii="宋体" w:hAnsi="宋体" w:eastAsia="宋体" w:cs="宋体"/>
                <w:color w:val="auto"/>
                <w:spacing w:val="-2"/>
                <w:sz w:val="24"/>
                <w:szCs w:val="24"/>
              </w:rPr>
              <w:t>平台、屋顶、天沟保持干净，有杂物及时清扫，每月至少开展1次清洁作业。</w:t>
            </w:r>
          </w:p>
          <w:p w14:paraId="4D957E8A">
            <w:pPr>
              <w:pStyle w:val="11"/>
              <w:numPr>
                <w:ilvl w:val="0"/>
                <w:numId w:val="0"/>
              </w:numPr>
              <w:spacing w:before="74" w:line="191" w:lineRule="auto"/>
              <w:rPr>
                <w:rFonts w:hint="eastAsia" w:ascii="宋体" w:hAnsi="宋体" w:eastAsia="宋体" w:cs="宋体"/>
                <w:color w:val="auto"/>
                <w:spacing w:val="-2"/>
                <w:sz w:val="24"/>
                <w:szCs w:val="24"/>
              </w:rPr>
            </w:pPr>
            <w:r>
              <w:rPr>
                <w:rFonts w:hint="eastAsia" w:cs="宋体"/>
                <w:color w:val="auto"/>
                <w:spacing w:val="-2"/>
                <w:sz w:val="24"/>
                <w:szCs w:val="24"/>
                <w:lang w:val="en-US" w:eastAsia="zh-CN" w:bidi="ar-SA"/>
              </w:rPr>
              <w:t>（9）</w:t>
            </w:r>
            <w:r>
              <w:rPr>
                <w:rFonts w:hint="eastAsia" w:ascii="宋体" w:hAnsi="宋体" w:eastAsia="宋体" w:cs="宋体"/>
                <w:color w:val="auto"/>
                <w:spacing w:val="-2"/>
                <w:sz w:val="24"/>
                <w:szCs w:val="24"/>
              </w:rPr>
              <w:t>办公区外立面定期清洗、2米以上外窗玻璃擦拭，每年至少开展1次清洗。</w:t>
            </w:r>
          </w:p>
          <w:p w14:paraId="4CF3CB8F">
            <w:pPr>
              <w:pStyle w:val="11"/>
              <w:numPr>
                <w:ilvl w:val="0"/>
                <w:numId w:val="0"/>
              </w:numPr>
              <w:spacing w:before="74" w:line="191" w:lineRule="auto"/>
              <w:rPr>
                <w:rFonts w:hint="eastAsia" w:ascii="宋体" w:hAnsi="宋体" w:eastAsia="宋体" w:cs="宋体"/>
                <w:color w:val="auto"/>
                <w:spacing w:val="-2"/>
                <w:sz w:val="24"/>
                <w:szCs w:val="24"/>
              </w:rPr>
            </w:pPr>
            <w:r>
              <w:rPr>
                <w:rFonts w:hint="eastAsia" w:cs="宋体"/>
                <w:color w:val="auto"/>
                <w:spacing w:val="-2"/>
                <w:sz w:val="24"/>
                <w:szCs w:val="24"/>
                <w:lang w:val="en-US" w:eastAsia="zh-CN" w:bidi="ar-SA"/>
              </w:rPr>
              <w:t>（10）</w:t>
            </w:r>
            <w:r>
              <w:rPr>
                <w:rFonts w:hint="eastAsia" w:ascii="宋体" w:hAnsi="宋体" w:eastAsia="宋体" w:cs="宋体"/>
                <w:color w:val="auto"/>
                <w:spacing w:val="-2"/>
                <w:sz w:val="24"/>
                <w:szCs w:val="24"/>
              </w:rPr>
              <w:t>地毯干净、无油渍、无污渍、无褪色，每月至少开展1次清洁作业。</w:t>
            </w:r>
          </w:p>
          <w:p w14:paraId="7B43BBA3">
            <w:pPr>
              <w:pStyle w:val="11"/>
              <w:numPr>
                <w:ilvl w:val="0"/>
                <w:numId w:val="0"/>
              </w:numPr>
              <w:spacing w:before="74" w:line="191" w:lineRule="auto"/>
              <w:rPr>
                <w:rFonts w:hint="eastAsia" w:ascii="宋体" w:hAnsi="宋体" w:eastAsia="宋体" w:cs="宋体"/>
                <w:color w:val="auto"/>
                <w:spacing w:val="-2"/>
                <w:sz w:val="24"/>
                <w:szCs w:val="24"/>
              </w:rPr>
            </w:pPr>
            <w:r>
              <w:rPr>
                <w:rFonts w:hint="eastAsia" w:cs="宋体"/>
                <w:color w:val="auto"/>
                <w:spacing w:val="-2"/>
                <w:sz w:val="24"/>
                <w:szCs w:val="24"/>
                <w:lang w:eastAsia="zh-CN"/>
              </w:rPr>
              <w:t>（</w:t>
            </w:r>
            <w:r>
              <w:rPr>
                <w:rFonts w:hint="eastAsia" w:cs="宋体"/>
                <w:color w:val="auto"/>
                <w:spacing w:val="-2"/>
                <w:sz w:val="24"/>
                <w:szCs w:val="24"/>
                <w:lang w:val="en-US" w:eastAsia="zh-CN"/>
              </w:rPr>
              <w:t>11</w:t>
            </w:r>
            <w:r>
              <w:rPr>
                <w:rFonts w:hint="eastAsia" w:cs="宋体"/>
                <w:color w:val="auto"/>
                <w:spacing w:val="-2"/>
                <w:sz w:val="24"/>
                <w:szCs w:val="24"/>
                <w:lang w:eastAsia="zh-CN"/>
              </w:rPr>
              <w:t>）</w:t>
            </w:r>
            <w:r>
              <w:rPr>
                <w:rFonts w:hint="eastAsia" w:ascii="宋体" w:hAnsi="宋体" w:eastAsia="宋体" w:cs="宋体"/>
                <w:color w:val="auto"/>
                <w:spacing w:val="-2"/>
                <w:sz w:val="24"/>
                <w:szCs w:val="24"/>
              </w:rPr>
              <w:t>每日清扫道路地面、停车场等公共区域2次，保持干净、无杂物、无积水。</w:t>
            </w:r>
          </w:p>
          <w:p w14:paraId="5FBCF330">
            <w:pPr>
              <w:pStyle w:val="11"/>
              <w:numPr>
                <w:ilvl w:val="0"/>
                <w:numId w:val="0"/>
              </w:numPr>
              <w:spacing w:before="74" w:line="191" w:lineRule="auto"/>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rPr>
              <w:t>（</w:t>
            </w:r>
            <w:r>
              <w:rPr>
                <w:rFonts w:hint="eastAsia" w:cs="宋体"/>
                <w:color w:val="auto"/>
                <w:spacing w:val="-2"/>
                <w:sz w:val="24"/>
                <w:szCs w:val="24"/>
                <w:lang w:val="en-US" w:eastAsia="zh-CN"/>
              </w:rPr>
              <w:t>1</w:t>
            </w:r>
            <w:r>
              <w:rPr>
                <w:rFonts w:hint="eastAsia" w:ascii="宋体" w:hAnsi="宋体" w:eastAsia="宋体" w:cs="宋体"/>
                <w:color w:val="auto"/>
                <w:spacing w:val="-2"/>
                <w:sz w:val="24"/>
                <w:szCs w:val="24"/>
              </w:rPr>
              <w:t>2）雪、冰冻等恶劣天气时及时清扫积水、积雪，并采取安全防护措施。</w:t>
            </w:r>
          </w:p>
          <w:p w14:paraId="3C17852F">
            <w:pPr>
              <w:pStyle w:val="11"/>
              <w:numPr>
                <w:ilvl w:val="0"/>
                <w:numId w:val="0"/>
              </w:numPr>
              <w:spacing w:before="74" w:line="191" w:lineRule="auto"/>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rPr>
              <w:t>（</w:t>
            </w:r>
            <w:r>
              <w:rPr>
                <w:rFonts w:hint="eastAsia" w:cs="宋体"/>
                <w:color w:val="auto"/>
                <w:spacing w:val="-2"/>
                <w:sz w:val="24"/>
                <w:szCs w:val="24"/>
                <w:lang w:val="en-US" w:eastAsia="zh-CN"/>
              </w:rPr>
              <w:t>1</w:t>
            </w:r>
            <w:r>
              <w:rPr>
                <w:rFonts w:hint="eastAsia" w:ascii="宋体" w:hAnsi="宋体" w:eastAsia="宋体" w:cs="宋体"/>
                <w:color w:val="auto"/>
                <w:spacing w:val="-2"/>
                <w:sz w:val="24"/>
                <w:szCs w:val="24"/>
              </w:rPr>
              <w:t>3）各种路标、宣传栏等保持干净，每月至少开展1次清洁作业。</w:t>
            </w:r>
          </w:p>
          <w:p w14:paraId="49635F10">
            <w:pPr>
              <w:pStyle w:val="11"/>
              <w:numPr>
                <w:ilvl w:val="0"/>
                <w:numId w:val="0"/>
              </w:numPr>
              <w:spacing w:before="74" w:line="191" w:lineRule="auto"/>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rPr>
              <w:t>（</w:t>
            </w:r>
            <w:r>
              <w:rPr>
                <w:rFonts w:hint="eastAsia" w:cs="宋体"/>
                <w:color w:val="auto"/>
                <w:spacing w:val="-2"/>
                <w:sz w:val="24"/>
                <w:szCs w:val="24"/>
                <w:lang w:val="en-US" w:eastAsia="zh-CN"/>
              </w:rPr>
              <w:t>1</w:t>
            </w:r>
            <w:r>
              <w:rPr>
                <w:rFonts w:hint="eastAsia" w:ascii="宋体" w:hAnsi="宋体" w:eastAsia="宋体" w:cs="宋体"/>
                <w:color w:val="auto"/>
                <w:spacing w:val="-2"/>
                <w:sz w:val="24"/>
                <w:szCs w:val="24"/>
              </w:rPr>
              <w:t>4）清洁室外照明设备，每月至少开展1次清洁作业。</w:t>
            </w:r>
          </w:p>
          <w:p w14:paraId="5278F44D">
            <w:pPr>
              <w:pStyle w:val="11"/>
              <w:numPr>
                <w:ilvl w:val="0"/>
                <w:numId w:val="0"/>
              </w:numPr>
              <w:spacing w:before="74" w:line="191" w:lineRule="auto"/>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rPr>
              <w:t>（</w:t>
            </w:r>
            <w:r>
              <w:rPr>
                <w:rFonts w:hint="eastAsia" w:cs="宋体"/>
                <w:color w:val="auto"/>
                <w:spacing w:val="-2"/>
                <w:sz w:val="24"/>
                <w:szCs w:val="24"/>
                <w:lang w:val="en-US" w:eastAsia="zh-CN"/>
              </w:rPr>
              <w:t>1</w:t>
            </w:r>
            <w:r>
              <w:rPr>
                <w:rFonts w:hint="eastAsia" w:ascii="宋体" w:hAnsi="宋体" w:eastAsia="宋体" w:cs="宋体"/>
                <w:color w:val="auto"/>
                <w:spacing w:val="-2"/>
                <w:sz w:val="24"/>
                <w:szCs w:val="24"/>
              </w:rPr>
              <w:t>5）绿地内无杂物、无改变用途和破坏、践踏、占用现象，每天至少开展1次巡查。</w:t>
            </w:r>
          </w:p>
          <w:p w14:paraId="2E6506A0">
            <w:pPr>
              <w:pStyle w:val="11"/>
              <w:numPr>
                <w:ilvl w:val="0"/>
                <w:numId w:val="0"/>
              </w:numPr>
              <w:spacing w:before="74" w:line="191" w:lineRule="auto"/>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rPr>
              <w:t>（</w:t>
            </w:r>
            <w:r>
              <w:rPr>
                <w:rFonts w:hint="eastAsia" w:cs="宋体"/>
                <w:color w:val="auto"/>
                <w:spacing w:val="-2"/>
                <w:sz w:val="24"/>
                <w:szCs w:val="24"/>
                <w:lang w:val="en-US" w:eastAsia="zh-CN"/>
              </w:rPr>
              <w:t>1</w:t>
            </w:r>
            <w:r>
              <w:rPr>
                <w:rFonts w:hint="eastAsia" w:ascii="宋体" w:hAnsi="宋体" w:eastAsia="宋体" w:cs="宋体"/>
                <w:color w:val="auto"/>
                <w:spacing w:val="-2"/>
                <w:sz w:val="24"/>
                <w:szCs w:val="24"/>
              </w:rPr>
              <w:t>6）办公区外立面定期清洗、2米以上外窗玻璃擦拭，每年至少开展1次清洗。</w:t>
            </w:r>
          </w:p>
          <w:p w14:paraId="1900FFE4">
            <w:pPr>
              <w:pStyle w:val="11"/>
              <w:numPr>
                <w:ilvl w:val="0"/>
                <w:numId w:val="0"/>
              </w:numPr>
              <w:spacing w:before="74" w:line="191" w:lineRule="auto"/>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rPr>
              <w:t>（1</w:t>
            </w:r>
            <w:r>
              <w:rPr>
                <w:rFonts w:hint="eastAsia" w:cs="宋体"/>
                <w:color w:val="auto"/>
                <w:spacing w:val="-2"/>
                <w:sz w:val="24"/>
                <w:szCs w:val="24"/>
                <w:lang w:val="en-US" w:eastAsia="zh-CN"/>
              </w:rPr>
              <w:t>7</w:t>
            </w:r>
            <w:r>
              <w:rPr>
                <w:rFonts w:hint="eastAsia" w:ascii="宋体" w:hAnsi="宋体" w:eastAsia="宋体" w:cs="宋体"/>
                <w:color w:val="auto"/>
                <w:spacing w:val="-2"/>
                <w:sz w:val="24"/>
                <w:szCs w:val="24"/>
              </w:rPr>
              <w:t>）在指定位置摆放分类垃圾桶，并在显著处张贴垃圾分类标识。分类垃圾桶和垃圾分类标识根据所在城市的要求设置。</w:t>
            </w:r>
          </w:p>
          <w:p w14:paraId="213F4A66">
            <w:pPr>
              <w:pStyle w:val="11"/>
              <w:numPr>
                <w:ilvl w:val="0"/>
                <w:numId w:val="0"/>
              </w:numPr>
              <w:spacing w:before="74" w:line="191" w:lineRule="auto"/>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rPr>
              <w:t>（</w:t>
            </w:r>
            <w:r>
              <w:rPr>
                <w:rFonts w:hint="eastAsia" w:cs="宋体"/>
                <w:color w:val="auto"/>
                <w:spacing w:val="-2"/>
                <w:sz w:val="24"/>
                <w:szCs w:val="24"/>
                <w:lang w:val="en-US" w:eastAsia="zh-CN"/>
              </w:rPr>
              <w:t>18</w:t>
            </w:r>
            <w:r>
              <w:rPr>
                <w:rFonts w:hint="eastAsia" w:ascii="宋体" w:hAnsi="宋体" w:eastAsia="宋体" w:cs="宋体"/>
                <w:color w:val="auto"/>
                <w:spacing w:val="-2"/>
                <w:sz w:val="24"/>
                <w:szCs w:val="24"/>
              </w:rPr>
              <w:t>）桶身表面干净无污渍，每日开展至少1次清洁作业。</w:t>
            </w:r>
          </w:p>
          <w:p w14:paraId="5B83C76A">
            <w:pPr>
              <w:pStyle w:val="11"/>
              <w:numPr>
                <w:ilvl w:val="0"/>
                <w:numId w:val="0"/>
              </w:numPr>
              <w:spacing w:before="74" w:line="191" w:lineRule="auto"/>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rPr>
              <w:t>（</w:t>
            </w:r>
            <w:r>
              <w:rPr>
                <w:rFonts w:hint="eastAsia" w:cs="宋体"/>
                <w:color w:val="auto"/>
                <w:spacing w:val="-2"/>
                <w:sz w:val="24"/>
                <w:szCs w:val="24"/>
                <w:lang w:val="en-US" w:eastAsia="zh-CN"/>
              </w:rPr>
              <w:t>19</w:t>
            </w:r>
            <w:r>
              <w:rPr>
                <w:rFonts w:hint="eastAsia" w:ascii="宋体" w:hAnsi="宋体" w:eastAsia="宋体" w:cs="宋体"/>
                <w:color w:val="auto"/>
                <w:spacing w:val="-2"/>
                <w:sz w:val="24"/>
                <w:szCs w:val="24"/>
              </w:rPr>
              <w:t>）垃圾中转房保持整洁，无明显异味，每日至少开展1次清洁作业。</w:t>
            </w:r>
          </w:p>
          <w:p w14:paraId="2034F4C1">
            <w:pPr>
              <w:pStyle w:val="11"/>
              <w:numPr>
                <w:ilvl w:val="0"/>
                <w:numId w:val="0"/>
              </w:numPr>
              <w:spacing w:before="74" w:line="191" w:lineRule="auto"/>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rPr>
              <w:t>（</w:t>
            </w:r>
            <w:r>
              <w:rPr>
                <w:rFonts w:hint="eastAsia" w:cs="宋体"/>
                <w:color w:val="auto"/>
                <w:spacing w:val="-2"/>
                <w:sz w:val="24"/>
                <w:szCs w:val="24"/>
                <w:lang w:val="en-US" w:eastAsia="zh-CN"/>
              </w:rPr>
              <w:t>20</w:t>
            </w:r>
            <w:r>
              <w:rPr>
                <w:rFonts w:hint="eastAsia" w:ascii="宋体" w:hAnsi="宋体" w:eastAsia="宋体" w:cs="宋体"/>
                <w:color w:val="auto"/>
                <w:spacing w:val="-2"/>
                <w:sz w:val="24"/>
                <w:szCs w:val="24"/>
              </w:rPr>
              <w:t>）化粪池清掏，无明显异味，每半年至少开展1次清洁作业。</w:t>
            </w:r>
          </w:p>
          <w:p w14:paraId="72AAE4BB">
            <w:pPr>
              <w:pStyle w:val="11"/>
              <w:numPr>
                <w:ilvl w:val="0"/>
                <w:numId w:val="0"/>
              </w:numPr>
              <w:spacing w:before="74" w:line="191" w:lineRule="auto"/>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rPr>
              <w:t>（</w:t>
            </w:r>
            <w:r>
              <w:rPr>
                <w:rFonts w:hint="eastAsia" w:ascii="宋体" w:hAnsi="宋体" w:eastAsia="宋体" w:cs="宋体"/>
                <w:color w:val="auto"/>
                <w:spacing w:val="-2"/>
                <w:sz w:val="24"/>
                <w:szCs w:val="24"/>
                <w:lang w:val="en-US" w:eastAsia="zh-CN"/>
              </w:rPr>
              <w:t>21</w:t>
            </w:r>
            <w:r>
              <w:rPr>
                <w:rFonts w:hint="eastAsia" w:ascii="宋体" w:hAnsi="宋体" w:eastAsia="宋体" w:cs="宋体"/>
                <w:color w:val="auto"/>
                <w:spacing w:val="-2"/>
                <w:sz w:val="24"/>
                <w:szCs w:val="24"/>
              </w:rPr>
              <w:t>）每个工作日内要对楼层产生的垃圾，进行清理分类，并运至垃圾集中堆放点。</w:t>
            </w:r>
          </w:p>
          <w:p w14:paraId="0F1C6AEA">
            <w:pPr>
              <w:pStyle w:val="11"/>
              <w:numPr>
                <w:ilvl w:val="0"/>
                <w:numId w:val="0"/>
              </w:numPr>
              <w:spacing w:before="74" w:line="191" w:lineRule="auto"/>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rPr>
              <w:t>（</w:t>
            </w:r>
            <w:r>
              <w:rPr>
                <w:rFonts w:hint="eastAsia" w:ascii="宋体" w:hAnsi="宋体" w:eastAsia="宋体" w:cs="宋体"/>
                <w:color w:val="auto"/>
                <w:spacing w:val="-2"/>
                <w:sz w:val="24"/>
                <w:szCs w:val="24"/>
                <w:lang w:val="en-US" w:eastAsia="zh-CN"/>
              </w:rPr>
              <w:t>22</w:t>
            </w:r>
            <w:r>
              <w:rPr>
                <w:rFonts w:hint="eastAsia" w:ascii="宋体" w:hAnsi="宋体" w:eastAsia="宋体" w:cs="宋体"/>
                <w:color w:val="auto"/>
                <w:spacing w:val="-2"/>
                <w:sz w:val="24"/>
                <w:szCs w:val="24"/>
              </w:rPr>
              <w:t>）垃圾装袋，日产日清。</w:t>
            </w:r>
          </w:p>
          <w:p w14:paraId="7ABCBB0F">
            <w:pPr>
              <w:pStyle w:val="11"/>
              <w:numPr>
                <w:ilvl w:val="0"/>
                <w:numId w:val="0"/>
              </w:numPr>
              <w:spacing w:before="74" w:line="191" w:lineRule="auto"/>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rPr>
              <w:t>（</w:t>
            </w:r>
            <w:r>
              <w:rPr>
                <w:rFonts w:hint="eastAsia" w:ascii="宋体" w:hAnsi="宋体" w:eastAsia="宋体" w:cs="宋体"/>
                <w:color w:val="auto"/>
                <w:spacing w:val="-2"/>
                <w:sz w:val="24"/>
                <w:szCs w:val="24"/>
                <w:lang w:val="en-US" w:eastAsia="zh-CN"/>
              </w:rPr>
              <w:t>2</w:t>
            </w:r>
            <w:r>
              <w:rPr>
                <w:rFonts w:hint="eastAsia" w:cs="宋体"/>
                <w:color w:val="auto"/>
                <w:spacing w:val="-2"/>
                <w:sz w:val="24"/>
                <w:szCs w:val="24"/>
                <w:lang w:val="en-US" w:eastAsia="zh-CN"/>
              </w:rPr>
              <w:t>3</w:t>
            </w:r>
            <w:r>
              <w:rPr>
                <w:rFonts w:hint="eastAsia" w:ascii="宋体" w:hAnsi="宋体" w:eastAsia="宋体" w:cs="宋体"/>
                <w:color w:val="auto"/>
                <w:spacing w:val="-2"/>
                <w:sz w:val="24"/>
                <w:szCs w:val="24"/>
              </w:rPr>
              <w:t>）建立垃圾清运台账，交由规范的渠道回收处理。</w:t>
            </w:r>
          </w:p>
          <w:p w14:paraId="4CD9714D">
            <w:pPr>
              <w:pStyle w:val="11"/>
              <w:numPr>
                <w:ilvl w:val="0"/>
                <w:numId w:val="0"/>
              </w:numPr>
              <w:spacing w:before="74" w:line="191" w:lineRule="auto"/>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rPr>
              <w:t>（</w:t>
            </w:r>
            <w:r>
              <w:rPr>
                <w:rFonts w:hint="eastAsia" w:ascii="宋体" w:hAnsi="宋体" w:eastAsia="宋体" w:cs="宋体"/>
                <w:color w:val="auto"/>
                <w:spacing w:val="-2"/>
                <w:sz w:val="24"/>
                <w:szCs w:val="24"/>
                <w:lang w:val="en-US" w:eastAsia="zh-CN"/>
              </w:rPr>
              <w:t>2</w:t>
            </w:r>
            <w:r>
              <w:rPr>
                <w:rFonts w:hint="eastAsia" w:cs="宋体"/>
                <w:color w:val="auto"/>
                <w:spacing w:val="-2"/>
                <w:sz w:val="24"/>
                <w:szCs w:val="24"/>
                <w:lang w:val="en-US" w:eastAsia="zh-CN"/>
              </w:rPr>
              <w:t>4</w:t>
            </w:r>
            <w:r>
              <w:rPr>
                <w:rFonts w:hint="eastAsia" w:ascii="宋体" w:hAnsi="宋体" w:eastAsia="宋体" w:cs="宋体"/>
                <w:color w:val="auto"/>
                <w:spacing w:val="-2"/>
                <w:sz w:val="24"/>
                <w:szCs w:val="24"/>
              </w:rPr>
              <w:t>）做好垃圾分类管理的宣传工作，督促并引导全员参与垃圾分类投放。</w:t>
            </w:r>
          </w:p>
          <w:p w14:paraId="0A6ACD8F">
            <w:pPr>
              <w:pStyle w:val="11"/>
              <w:numPr>
                <w:ilvl w:val="0"/>
                <w:numId w:val="0"/>
              </w:numPr>
              <w:spacing w:before="74" w:line="191" w:lineRule="auto"/>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rPr>
              <w:t>（</w:t>
            </w:r>
            <w:r>
              <w:rPr>
                <w:rFonts w:hint="eastAsia" w:ascii="宋体" w:hAnsi="宋体" w:eastAsia="宋体" w:cs="宋体"/>
                <w:color w:val="auto"/>
                <w:spacing w:val="-2"/>
                <w:sz w:val="24"/>
                <w:szCs w:val="24"/>
                <w:lang w:val="en-US" w:eastAsia="zh-CN"/>
              </w:rPr>
              <w:t>2</w:t>
            </w:r>
            <w:r>
              <w:rPr>
                <w:rFonts w:hint="eastAsia" w:cs="宋体"/>
                <w:color w:val="auto"/>
                <w:spacing w:val="-2"/>
                <w:sz w:val="24"/>
                <w:szCs w:val="24"/>
                <w:lang w:val="en-US" w:eastAsia="zh-CN"/>
              </w:rPr>
              <w:t>5</w:t>
            </w:r>
            <w:r>
              <w:rPr>
                <w:rFonts w:hint="eastAsia" w:ascii="宋体" w:hAnsi="宋体" w:eastAsia="宋体" w:cs="宋体"/>
                <w:color w:val="auto"/>
                <w:spacing w:val="-2"/>
                <w:sz w:val="24"/>
                <w:szCs w:val="24"/>
              </w:rPr>
              <w:t>）垃圾分类投放管理工作的执行标准，按所在城市的要求执行。</w:t>
            </w:r>
          </w:p>
          <w:p w14:paraId="359BEFAA">
            <w:pPr>
              <w:pStyle w:val="11"/>
              <w:numPr>
                <w:ilvl w:val="0"/>
                <w:numId w:val="0"/>
              </w:numPr>
              <w:spacing w:before="74" w:line="191" w:lineRule="auto"/>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rPr>
              <w:t>（</w:t>
            </w:r>
            <w:r>
              <w:rPr>
                <w:rFonts w:hint="eastAsia" w:ascii="宋体" w:hAnsi="宋体" w:eastAsia="宋体" w:cs="宋体"/>
                <w:color w:val="auto"/>
                <w:spacing w:val="-2"/>
                <w:sz w:val="24"/>
                <w:szCs w:val="24"/>
                <w:lang w:val="en-US" w:eastAsia="zh-CN"/>
              </w:rPr>
              <w:t>2</w:t>
            </w:r>
            <w:r>
              <w:rPr>
                <w:rFonts w:hint="eastAsia" w:cs="宋体"/>
                <w:color w:val="auto"/>
                <w:spacing w:val="-2"/>
                <w:sz w:val="24"/>
                <w:szCs w:val="24"/>
                <w:lang w:val="en-US" w:eastAsia="zh-CN"/>
              </w:rPr>
              <w:t>6</w:t>
            </w:r>
            <w:r>
              <w:rPr>
                <w:rFonts w:hint="eastAsia" w:ascii="宋体" w:hAnsi="宋体" w:eastAsia="宋体" w:cs="宋体"/>
                <w:color w:val="auto"/>
                <w:spacing w:val="-2"/>
                <w:sz w:val="24"/>
                <w:szCs w:val="24"/>
              </w:rPr>
              <w:t>）办公用房区域、公共场所区域和周围环境预防性卫生消毒，消毒后及时通风，每周至少开展1次作业。</w:t>
            </w:r>
          </w:p>
          <w:p w14:paraId="72AA1193">
            <w:pPr>
              <w:pStyle w:val="11"/>
              <w:numPr>
                <w:ilvl w:val="0"/>
                <w:numId w:val="0"/>
              </w:numPr>
              <w:spacing w:before="74" w:line="191" w:lineRule="auto"/>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rPr>
              <w:t>（</w:t>
            </w:r>
            <w:r>
              <w:rPr>
                <w:rFonts w:hint="eastAsia" w:ascii="宋体" w:hAnsi="宋体" w:eastAsia="宋体" w:cs="宋体"/>
                <w:color w:val="auto"/>
                <w:spacing w:val="-2"/>
                <w:sz w:val="24"/>
                <w:szCs w:val="24"/>
                <w:lang w:val="en-US" w:eastAsia="zh-CN"/>
              </w:rPr>
              <w:t>2</w:t>
            </w:r>
            <w:r>
              <w:rPr>
                <w:rFonts w:hint="eastAsia" w:cs="宋体"/>
                <w:color w:val="auto"/>
                <w:spacing w:val="-2"/>
                <w:sz w:val="24"/>
                <w:szCs w:val="24"/>
                <w:lang w:val="en-US" w:eastAsia="zh-CN"/>
              </w:rPr>
              <w:t>7</w:t>
            </w:r>
            <w:r>
              <w:rPr>
                <w:rFonts w:hint="eastAsia" w:ascii="宋体" w:hAnsi="宋体" w:eastAsia="宋体" w:cs="宋体"/>
                <w:color w:val="auto"/>
                <w:spacing w:val="-2"/>
                <w:sz w:val="24"/>
                <w:szCs w:val="24"/>
              </w:rPr>
              <w:t>）采取综合措施消灭老鼠、蟑螂，控制室内外蚊虫孳生，达到基本无蝇，每季度至少开展1次作业。</w:t>
            </w:r>
          </w:p>
          <w:p w14:paraId="3401FE41">
            <w:pPr>
              <w:pStyle w:val="11"/>
              <w:numPr>
                <w:ilvl w:val="0"/>
                <w:numId w:val="0"/>
              </w:numPr>
              <w:spacing w:before="74" w:line="191"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auto"/>
                <w:spacing w:val="-2"/>
                <w:sz w:val="24"/>
                <w:szCs w:val="24"/>
              </w:rPr>
              <w:t>（</w:t>
            </w:r>
            <w:r>
              <w:rPr>
                <w:rFonts w:hint="eastAsia" w:ascii="宋体" w:hAnsi="宋体" w:eastAsia="宋体" w:cs="宋体"/>
                <w:color w:val="auto"/>
                <w:spacing w:val="-2"/>
                <w:sz w:val="24"/>
                <w:szCs w:val="24"/>
                <w:lang w:val="en-US" w:eastAsia="zh-CN"/>
              </w:rPr>
              <w:t>2</w:t>
            </w:r>
            <w:r>
              <w:rPr>
                <w:rFonts w:hint="eastAsia" w:cs="宋体"/>
                <w:color w:val="auto"/>
                <w:spacing w:val="-2"/>
                <w:sz w:val="24"/>
                <w:szCs w:val="24"/>
                <w:lang w:val="en-US" w:eastAsia="zh-CN"/>
              </w:rPr>
              <w:t>8</w:t>
            </w:r>
            <w:r>
              <w:rPr>
                <w:rFonts w:hint="eastAsia" w:ascii="宋体" w:hAnsi="宋体" w:eastAsia="宋体" w:cs="宋体"/>
                <w:color w:val="auto"/>
                <w:spacing w:val="-2"/>
                <w:sz w:val="24"/>
                <w:szCs w:val="24"/>
              </w:rPr>
              <w:t>）发生公共卫生事件时，邀请专业单位开展消毒、检测等工作。</w:t>
            </w:r>
          </w:p>
        </w:tc>
      </w:tr>
    </w:tbl>
    <w:p w14:paraId="60BDE045">
      <w:pPr>
        <w:keepNext w:val="0"/>
        <w:keepLines w:val="0"/>
        <w:pageBreakBefore w:val="0"/>
        <w:widowControl w:val="0"/>
        <w:numPr>
          <w:ilvl w:val="0"/>
          <w:numId w:val="2"/>
        </w:numPr>
        <w:kinsoku/>
        <w:wordWrap/>
        <w:overflowPunct/>
        <w:topLinePunct w:val="0"/>
        <w:autoSpaceDE/>
        <w:autoSpaceDN/>
        <w:bidi w:val="0"/>
        <w:adjustRightInd/>
        <w:snapToGrid/>
        <w:spacing w:before="721" w:beforeLines="200" w:line="240" w:lineRule="auto"/>
        <w:ind w:left="0" w:firstLine="482"/>
        <w:textAlignment w:val="auto"/>
        <w:rPr>
          <w:rFonts w:hint="eastAsia" w:ascii="宋体" w:hAnsi="宋体" w:eastAsia="宋体" w:cs="Times New Roman"/>
          <w:b/>
          <w:bCs/>
          <w:sz w:val="24"/>
          <w:szCs w:val="24"/>
          <w:lang w:val="en-US" w:eastAsia="zh-CN"/>
        </w:rPr>
      </w:pPr>
      <w:r>
        <w:rPr>
          <w:rFonts w:hint="eastAsia" w:ascii="宋体" w:hAnsi="宋体" w:eastAsia="宋体" w:cs="Times New Roman"/>
          <w:b/>
          <w:bCs/>
          <w:sz w:val="24"/>
          <w:szCs w:val="24"/>
          <w:lang w:val="en-US" w:eastAsia="zh-CN"/>
        </w:rPr>
        <w:t>绿化服务</w:t>
      </w:r>
    </w:p>
    <w:tbl>
      <w:tblPr>
        <w:tblStyle w:val="12"/>
        <w:tblpPr w:leftFromText="180" w:rightFromText="180" w:vertAnchor="text" w:horzAnchor="page" w:tblpXSpec="center" w:tblpY="458"/>
        <w:tblW w:w="840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80"/>
        <w:gridCol w:w="7223"/>
      </w:tblGrid>
      <w:tr w14:paraId="518B9E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jc w:val="center"/>
        </w:trPr>
        <w:tc>
          <w:tcPr>
            <w:tcW w:w="1180" w:type="dxa"/>
            <w:noWrap w:val="0"/>
            <w:vAlign w:val="top"/>
          </w:tcPr>
          <w:p w14:paraId="20CDE75E">
            <w:pPr>
              <w:pStyle w:val="11"/>
              <w:spacing w:before="75" w:line="240" w:lineRule="auto"/>
              <w:jc w:val="center"/>
              <w:rPr>
                <w:rFonts w:hint="default" w:eastAsia="宋体"/>
                <w:b/>
                <w:bCs/>
                <w:color w:val="auto"/>
                <w:sz w:val="24"/>
                <w:szCs w:val="24"/>
                <w:lang w:val="en-US" w:eastAsia="zh-CN"/>
              </w:rPr>
            </w:pPr>
            <w:r>
              <w:rPr>
                <w:rFonts w:hint="eastAsia"/>
                <w:b/>
                <w:bCs/>
                <w:color w:val="auto"/>
                <w:spacing w:val="-3"/>
                <w:sz w:val="24"/>
                <w:szCs w:val="24"/>
                <w:lang w:val="en-US" w:eastAsia="zh-CN"/>
              </w:rPr>
              <w:t>服务内容</w:t>
            </w:r>
          </w:p>
        </w:tc>
        <w:tc>
          <w:tcPr>
            <w:tcW w:w="7223" w:type="dxa"/>
            <w:noWrap w:val="0"/>
            <w:vAlign w:val="top"/>
          </w:tcPr>
          <w:p w14:paraId="5EEAB30E">
            <w:pPr>
              <w:pStyle w:val="11"/>
              <w:spacing w:before="75" w:line="240" w:lineRule="auto"/>
              <w:jc w:val="center"/>
              <w:rPr>
                <w:b/>
                <w:bCs/>
                <w:color w:val="auto"/>
                <w:sz w:val="24"/>
                <w:szCs w:val="24"/>
              </w:rPr>
            </w:pPr>
            <w:r>
              <w:rPr>
                <w:b/>
                <w:bCs/>
                <w:color w:val="auto"/>
                <w:spacing w:val="-2"/>
                <w:sz w:val="24"/>
                <w:szCs w:val="24"/>
              </w:rPr>
              <w:t>服务标准</w:t>
            </w:r>
          </w:p>
        </w:tc>
      </w:tr>
      <w:tr w14:paraId="44D079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07" w:hRule="atLeast"/>
          <w:jc w:val="center"/>
        </w:trPr>
        <w:tc>
          <w:tcPr>
            <w:tcW w:w="1180" w:type="dxa"/>
            <w:noWrap w:val="0"/>
            <w:vAlign w:val="center"/>
          </w:tcPr>
          <w:p w14:paraId="5D10C1F3">
            <w:pPr>
              <w:spacing w:line="240" w:lineRule="auto"/>
              <w:jc w:val="center"/>
              <w:rPr>
                <w:rFonts w:ascii="Arial"/>
                <w:color w:val="auto"/>
                <w:sz w:val="24"/>
                <w:szCs w:val="24"/>
              </w:rPr>
            </w:pPr>
          </w:p>
          <w:p w14:paraId="336B26BD">
            <w:pPr>
              <w:spacing w:line="240" w:lineRule="auto"/>
              <w:jc w:val="center"/>
              <w:rPr>
                <w:rFonts w:ascii="Arial"/>
                <w:color w:val="auto"/>
                <w:sz w:val="24"/>
                <w:szCs w:val="24"/>
              </w:rPr>
            </w:pPr>
          </w:p>
          <w:p w14:paraId="62BBFA4A">
            <w:pPr>
              <w:spacing w:line="240" w:lineRule="auto"/>
              <w:jc w:val="center"/>
              <w:rPr>
                <w:rFonts w:ascii="Arial"/>
                <w:color w:val="auto"/>
                <w:sz w:val="24"/>
                <w:szCs w:val="24"/>
              </w:rPr>
            </w:pPr>
          </w:p>
          <w:p w14:paraId="2BAA5BD5">
            <w:pPr>
              <w:spacing w:line="240" w:lineRule="auto"/>
              <w:jc w:val="center"/>
              <w:rPr>
                <w:rFonts w:ascii="Arial"/>
                <w:color w:val="auto"/>
                <w:sz w:val="24"/>
                <w:szCs w:val="24"/>
              </w:rPr>
            </w:pPr>
            <w:r>
              <w:rPr>
                <w:rFonts w:hint="eastAsia" w:ascii="Arial"/>
                <w:color w:val="auto"/>
                <w:sz w:val="24"/>
                <w:szCs w:val="24"/>
                <w:lang w:val="en-US" w:eastAsia="zh-CN"/>
              </w:rPr>
              <w:t>室外绿化养护</w:t>
            </w:r>
          </w:p>
          <w:p w14:paraId="4337B1AB">
            <w:pPr>
              <w:spacing w:line="240" w:lineRule="auto"/>
              <w:jc w:val="center"/>
              <w:rPr>
                <w:rFonts w:ascii="Arial"/>
                <w:color w:val="auto"/>
                <w:sz w:val="24"/>
                <w:szCs w:val="24"/>
              </w:rPr>
            </w:pPr>
          </w:p>
          <w:p w14:paraId="55A0369C">
            <w:pPr>
              <w:spacing w:line="240" w:lineRule="auto"/>
              <w:jc w:val="center"/>
              <w:rPr>
                <w:rFonts w:ascii="Arial"/>
                <w:color w:val="auto"/>
                <w:sz w:val="24"/>
                <w:szCs w:val="24"/>
              </w:rPr>
            </w:pPr>
          </w:p>
          <w:p w14:paraId="53B79140">
            <w:pPr>
              <w:spacing w:before="46" w:line="240" w:lineRule="auto"/>
              <w:ind w:left="445"/>
              <w:jc w:val="center"/>
              <w:rPr>
                <w:rFonts w:ascii="Calibri" w:hAnsi="Calibri" w:eastAsia="Calibri" w:cs="Calibri"/>
                <w:color w:val="auto"/>
                <w:sz w:val="24"/>
                <w:szCs w:val="24"/>
              </w:rPr>
            </w:pPr>
          </w:p>
        </w:tc>
        <w:tc>
          <w:tcPr>
            <w:tcW w:w="7223" w:type="dxa"/>
            <w:noWrap w:val="0"/>
            <w:vAlign w:val="center"/>
          </w:tcPr>
          <w:p w14:paraId="337DC45A">
            <w:pPr>
              <w:pStyle w:val="11"/>
              <w:spacing w:line="240" w:lineRule="auto"/>
              <w:ind w:right="189"/>
              <w:jc w:val="both"/>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rPr>
              <w:t>（1）制定绿化服务的工作制度及工作计划，并按照执行。</w:t>
            </w:r>
          </w:p>
          <w:p w14:paraId="7CB25D0B">
            <w:pPr>
              <w:pStyle w:val="11"/>
              <w:spacing w:line="240" w:lineRule="auto"/>
              <w:ind w:right="189"/>
              <w:jc w:val="both"/>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rPr>
              <w:t>（2）做好绿化服务工作记录，填写规范。</w:t>
            </w:r>
          </w:p>
          <w:p w14:paraId="66C00EF8">
            <w:pPr>
              <w:pStyle w:val="11"/>
              <w:spacing w:line="240" w:lineRule="auto"/>
              <w:ind w:right="189"/>
              <w:jc w:val="both"/>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rPr>
              <w:t>（3）作业时采取安全防护措施，防止对作业人员或他人造成伤害。</w:t>
            </w:r>
          </w:p>
          <w:p w14:paraId="6735498C">
            <w:pPr>
              <w:pStyle w:val="11"/>
              <w:spacing w:line="240" w:lineRule="auto"/>
              <w:ind w:right="189"/>
              <w:jc w:val="both"/>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rPr>
              <w:t>（4）相关耗材的环保、安全性应当符合规定要求。</w:t>
            </w:r>
          </w:p>
          <w:p w14:paraId="7B9F3FA7">
            <w:pPr>
              <w:pStyle w:val="11"/>
              <w:spacing w:line="240" w:lineRule="auto"/>
              <w:ind w:right="189"/>
              <w:jc w:val="both"/>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rPr>
              <w:t>（</w:t>
            </w:r>
            <w:r>
              <w:rPr>
                <w:rFonts w:hint="eastAsia" w:cs="宋体"/>
                <w:color w:val="auto"/>
                <w:spacing w:val="-2"/>
                <w:sz w:val="24"/>
                <w:szCs w:val="24"/>
                <w:lang w:val="en-US" w:eastAsia="zh-CN"/>
              </w:rPr>
              <w:t>5</w:t>
            </w:r>
            <w:r>
              <w:rPr>
                <w:rFonts w:hint="eastAsia" w:ascii="宋体" w:hAnsi="宋体" w:eastAsia="宋体" w:cs="宋体"/>
                <w:color w:val="auto"/>
                <w:spacing w:val="-2"/>
                <w:sz w:val="24"/>
                <w:szCs w:val="24"/>
              </w:rPr>
              <w:t>）根据生长环境、植物特性进行除草、灌溉、施肥、整形修剪、防治病虫害等。</w:t>
            </w:r>
          </w:p>
          <w:p w14:paraId="67FB97B7">
            <w:pPr>
              <w:pStyle w:val="11"/>
              <w:spacing w:line="240" w:lineRule="auto"/>
              <w:ind w:right="189"/>
              <w:jc w:val="both"/>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rPr>
              <w:t>（</w:t>
            </w:r>
            <w:r>
              <w:rPr>
                <w:rFonts w:hint="eastAsia" w:cs="宋体"/>
                <w:color w:val="auto"/>
                <w:spacing w:val="-2"/>
                <w:sz w:val="24"/>
                <w:szCs w:val="24"/>
                <w:lang w:val="en-US" w:eastAsia="zh-CN"/>
              </w:rPr>
              <w:t>6</w:t>
            </w:r>
            <w:r>
              <w:rPr>
                <w:rFonts w:hint="eastAsia" w:ascii="宋体" w:hAnsi="宋体" w:eastAsia="宋体" w:cs="宋体"/>
                <w:color w:val="auto"/>
                <w:spacing w:val="-2"/>
                <w:sz w:val="24"/>
                <w:szCs w:val="24"/>
              </w:rPr>
              <w:t>）根据生长情况修剪绿地，绿地内无枯草、无杂物，无干枯坏死和病虫侵害，基本无裸露土地。</w:t>
            </w:r>
          </w:p>
          <w:p w14:paraId="32F23851">
            <w:pPr>
              <w:pStyle w:val="11"/>
              <w:spacing w:line="240" w:lineRule="auto"/>
              <w:ind w:right="189"/>
              <w:jc w:val="both"/>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rPr>
              <w:t>（</w:t>
            </w:r>
            <w:r>
              <w:rPr>
                <w:rFonts w:hint="eastAsia" w:cs="宋体"/>
                <w:color w:val="auto"/>
                <w:spacing w:val="-2"/>
                <w:sz w:val="24"/>
                <w:szCs w:val="24"/>
                <w:lang w:val="en-US" w:eastAsia="zh-CN"/>
              </w:rPr>
              <w:t>7</w:t>
            </w:r>
            <w:r>
              <w:rPr>
                <w:rFonts w:hint="eastAsia" w:ascii="宋体" w:hAnsi="宋体" w:eastAsia="宋体" w:cs="宋体"/>
                <w:color w:val="auto"/>
                <w:spacing w:val="-2"/>
                <w:sz w:val="24"/>
                <w:szCs w:val="24"/>
              </w:rPr>
              <w:t>）定期修剪树木、花卉等，灌乔木生长正常、造型美观自然、花枝新鲜，无枯叶、无病虫、无死树缺株。</w:t>
            </w:r>
          </w:p>
          <w:p w14:paraId="02977D87">
            <w:pPr>
              <w:pStyle w:val="11"/>
              <w:spacing w:line="240" w:lineRule="auto"/>
              <w:ind w:right="189"/>
              <w:jc w:val="both"/>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rPr>
              <w:t>（</w:t>
            </w:r>
            <w:r>
              <w:rPr>
                <w:rFonts w:hint="eastAsia" w:cs="宋体"/>
                <w:color w:val="auto"/>
                <w:spacing w:val="-2"/>
                <w:sz w:val="24"/>
                <w:szCs w:val="24"/>
                <w:lang w:val="en-US" w:eastAsia="zh-CN"/>
              </w:rPr>
              <w:t>8</w:t>
            </w:r>
            <w:r>
              <w:rPr>
                <w:rFonts w:hint="eastAsia" w:ascii="宋体" w:hAnsi="宋体" w:eastAsia="宋体" w:cs="宋体"/>
                <w:color w:val="auto"/>
                <w:spacing w:val="-2"/>
                <w:sz w:val="24"/>
                <w:szCs w:val="24"/>
              </w:rPr>
              <w:t>）绿篱生长造型正常，颜色正常，修剪及时，基本无死株和干死株，有虫株率在10%以下。</w:t>
            </w:r>
          </w:p>
          <w:p w14:paraId="0947CBEF">
            <w:pPr>
              <w:pStyle w:val="11"/>
              <w:spacing w:line="240" w:lineRule="auto"/>
              <w:ind w:right="189"/>
              <w:jc w:val="both"/>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rPr>
              <w:t>（</w:t>
            </w:r>
            <w:r>
              <w:rPr>
                <w:rFonts w:hint="eastAsia" w:cs="宋体"/>
                <w:color w:val="auto"/>
                <w:spacing w:val="-2"/>
                <w:sz w:val="24"/>
                <w:szCs w:val="24"/>
                <w:lang w:val="en-US" w:eastAsia="zh-CN"/>
              </w:rPr>
              <w:t>9</w:t>
            </w:r>
            <w:r>
              <w:rPr>
                <w:rFonts w:hint="eastAsia" w:ascii="宋体" w:hAnsi="宋体" w:eastAsia="宋体" w:cs="宋体"/>
                <w:color w:val="auto"/>
                <w:spacing w:val="-2"/>
                <w:sz w:val="24"/>
                <w:szCs w:val="24"/>
              </w:rPr>
              <w:t>）清除花坛和花景的花蒂、黄叶、杂草、垃圾，做好病虫害防治。</w:t>
            </w:r>
          </w:p>
          <w:p w14:paraId="7620A6F1">
            <w:pPr>
              <w:pStyle w:val="11"/>
              <w:spacing w:line="240" w:lineRule="auto"/>
              <w:ind w:right="189"/>
              <w:jc w:val="both"/>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rPr>
              <w:t>（</w:t>
            </w:r>
            <w:r>
              <w:rPr>
                <w:rFonts w:hint="eastAsia" w:cs="宋体"/>
                <w:color w:val="auto"/>
                <w:spacing w:val="-2"/>
                <w:sz w:val="24"/>
                <w:szCs w:val="24"/>
                <w:lang w:val="en-US" w:eastAsia="zh-CN"/>
              </w:rPr>
              <w:t>10</w:t>
            </w:r>
            <w:r>
              <w:rPr>
                <w:rFonts w:hint="eastAsia" w:ascii="宋体" w:hAnsi="宋体" w:eastAsia="宋体" w:cs="宋体"/>
                <w:color w:val="auto"/>
                <w:spacing w:val="-2"/>
                <w:sz w:val="24"/>
                <w:szCs w:val="24"/>
              </w:rPr>
              <w:t>）水池水面定期清理，无枯枝落叶、水质清洁。</w:t>
            </w:r>
          </w:p>
          <w:p w14:paraId="3EC9C383">
            <w:pPr>
              <w:pStyle w:val="11"/>
              <w:spacing w:line="240" w:lineRule="auto"/>
              <w:ind w:right="189"/>
              <w:jc w:val="both"/>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rPr>
              <w:t>（</w:t>
            </w:r>
            <w:r>
              <w:rPr>
                <w:rFonts w:hint="eastAsia" w:cs="宋体"/>
                <w:color w:val="auto"/>
                <w:spacing w:val="-2"/>
                <w:sz w:val="24"/>
                <w:szCs w:val="24"/>
                <w:lang w:val="en-US" w:eastAsia="zh-CN"/>
              </w:rPr>
              <w:t>11</w:t>
            </w:r>
            <w:r>
              <w:rPr>
                <w:rFonts w:hint="eastAsia" w:ascii="宋体" w:hAnsi="宋体" w:eastAsia="宋体" w:cs="宋体"/>
                <w:color w:val="auto"/>
                <w:spacing w:val="-2"/>
                <w:sz w:val="24"/>
                <w:szCs w:val="24"/>
              </w:rPr>
              <w:t>）根据病虫害发生规律实施综合治理，通常在病虫率高时，以药剂杀死病虫，以确保植物良好生长。产生垃圾的主要区域和路段做到日产日清。</w:t>
            </w:r>
          </w:p>
          <w:p w14:paraId="0B9C2505">
            <w:pPr>
              <w:pStyle w:val="11"/>
              <w:spacing w:line="240" w:lineRule="auto"/>
              <w:ind w:right="189"/>
              <w:jc w:val="both"/>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rPr>
              <w:t>（</w:t>
            </w:r>
            <w:r>
              <w:rPr>
                <w:rFonts w:hint="eastAsia" w:cs="宋体"/>
                <w:color w:val="auto"/>
                <w:spacing w:val="-2"/>
                <w:sz w:val="24"/>
                <w:szCs w:val="24"/>
                <w:lang w:val="en-US" w:eastAsia="zh-CN"/>
              </w:rPr>
              <w:t>12</w:t>
            </w:r>
            <w:r>
              <w:rPr>
                <w:rFonts w:hint="eastAsia" w:ascii="宋体" w:hAnsi="宋体" w:eastAsia="宋体" w:cs="宋体"/>
                <w:color w:val="auto"/>
                <w:spacing w:val="-2"/>
                <w:sz w:val="24"/>
                <w:szCs w:val="24"/>
              </w:rPr>
              <w:t>）雨雪、冰冻等恶劣天气来临前，专人巡查，对绿植做好预防措施，排除安全隐患。</w:t>
            </w:r>
          </w:p>
          <w:p w14:paraId="115F8EA4">
            <w:pPr>
              <w:pStyle w:val="11"/>
              <w:spacing w:line="240" w:lineRule="auto"/>
              <w:ind w:right="189"/>
              <w:jc w:val="both"/>
              <w:rPr>
                <w:rFonts w:hint="eastAsia" w:ascii="宋体" w:hAnsi="宋体" w:eastAsia="宋体" w:cs="宋体"/>
                <w:color w:val="auto"/>
                <w:sz w:val="24"/>
                <w:szCs w:val="24"/>
              </w:rPr>
            </w:pPr>
            <w:r>
              <w:rPr>
                <w:rFonts w:hint="eastAsia" w:ascii="宋体" w:hAnsi="宋体" w:eastAsia="宋体" w:cs="宋体"/>
                <w:color w:val="auto"/>
                <w:spacing w:val="-2"/>
                <w:sz w:val="24"/>
                <w:szCs w:val="24"/>
              </w:rPr>
              <w:t>（</w:t>
            </w:r>
            <w:r>
              <w:rPr>
                <w:rFonts w:hint="eastAsia" w:cs="宋体"/>
                <w:color w:val="auto"/>
                <w:spacing w:val="-2"/>
                <w:sz w:val="24"/>
                <w:szCs w:val="24"/>
                <w:lang w:val="en-US" w:eastAsia="zh-CN"/>
              </w:rPr>
              <w:t>13</w:t>
            </w:r>
            <w:r>
              <w:rPr>
                <w:rFonts w:hint="eastAsia" w:ascii="宋体" w:hAnsi="宋体" w:eastAsia="宋体" w:cs="宋体"/>
                <w:color w:val="auto"/>
                <w:spacing w:val="-2"/>
                <w:sz w:val="24"/>
                <w:szCs w:val="24"/>
              </w:rPr>
              <w:t>）恶劣天气后，及时清除倒树断枝，疏通道路，尽快恢复原状。</w:t>
            </w:r>
          </w:p>
        </w:tc>
      </w:tr>
    </w:tbl>
    <w:p w14:paraId="2EFD31D3">
      <w:pPr>
        <w:keepNext w:val="0"/>
        <w:keepLines w:val="0"/>
        <w:pageBreakBefore w:val="0"/>
        <w:widowControl w:val="0"/>
        <w:numPr>
          <w:ilvl w:val="0"/>
          <w:numId w:val="2"/>
        </w:numPr>
        <w:kinsoku/>
        <w:wordWrap/>
        <w:overflowPunct/>
        <w:topLinePunct w:val="0"/>
        <w:autoSpaceDE/>
        <w:autoSpaceDN/>
        <w:bidi w:val="0"/>
        <w:adjustRightInd/>
        <w:snapToGrid/>
        <w:spacing w:before="721" w:beforeLines="200" w:line="240" w:lineRule="auto"/>
        <w:ind w:left="0" w:firstLine="482"/>
        <w:textAlignment w:val="auto"/>
        <w:rPr>
          <w:rFonts w:hint="eastAsia" w:ascii="宋体" w:hAnsi="宋体" w:eastAsia="宋体" w:cs="Times New Roman"/>
          <w:b/>
          <w:bCs/>
          <w:sz w:val="24"/>
          <w:szCs w:val="24"/>
          <w:lang w:val="en-US" w:eastAsia="zh-CN"/>
        </w:rPr>
      </w:pPr>
      <w:r>
        <w:rPr>
          <w:rFonts w:hint="eastAsia" w:ascii="宋体" w:hAnsi="宋体" w:eastAsia="宋体" w:cs="Times New Roman"/>
          <w:b/>
          <w:bCs/>
          <w:sz w:val="24"/>
          <w:szCs w:val="24"/>
          <w:lang w:val="en-US" w:eastAsia="zh-CN"/>
        </w:rPr>
        <w:t>秩序维护</w:t>
      </w:r>
    </w:p>
    <w:tbl>
      <w:tblPr>
        <w:tblStyle w:val="12"/>
        <w:tblpPr w:leftFromText="180" w:rightFromText="180" w:vertAnchor="text" w:horzAnchor="page" w:tblpXSpec="center" w:tblpY="458"/>
        <w:tblW w:w="836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45"/>
        <w:gridCol w:w="7215"/>
      </w:tblGrid>
      <w:tr w14:paraId="02FE4A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2" w:hRule="atLeast"/>
          <w:jc w:val="center"/>
        </w:trPr>
        <w:tc>
          <w:tcPr>
            <w:tcW w:w="1145" w:type="dxa"/>
            <w:noWrap w:val="0"/>
            <w:vAlign w:val="top"/>
          </w:tcPr>
          <w:p w14:paraId="04504A2B">
            <w:pPr>
              <w:pStyle w:val="11"/>
              <w:spacing w:before="75" w:line="240" w:lineRule="auto"/>
              <w:jc w:val="center"/>
              <w:rPr>
                <w:rFonts w:hint="default" w:eastAsia="宋体"/>
                <w:b/>
                <w:bCs/>
                <w:color w:val="auto"/>
                <w:sz w:val="24"/>
                <w:szCs w:val="24"/>
                <w:lang w:val="en-US" w:eastAsia="zh-CN"/>
              </w:rPr>
            </w:pPr>
            <w:r>
              <w:rPr>
                <w:rFonts w:hint="eastAsia"/>
                <w:b/>
                <w:bCs/>
                <w:color w:val="auto"/>
                <w:spacing w:val="-3"/>
                <w:sz w:val="24"/>
                <w:szCs w:val="24"/>
                <w:lang w:val="en-US" w:eastAsia="zh-CN"/>
              </w:rPr>
              <w:t>服务内容</w:t>
            </w:r>
          </w:p>
        </w:tc>
        <w:tc>
          <w:tcPr>
            <w:tcW w:w="7215" w:type="dxa"/>
            <w:noWrap w:val="0"/>
            <w:vAlign w:val="top"/>
          </w:tcPr>
          <w:p w14:paraId="1CE646BE">
            <w:pPr>
              <w:pStyle w:val="11"/>
              <w:spacing w:before="75" w:line="240" w:lineRule="auto"/>
              <w:jc w:val="center"/>
              <w:rPr>
                <w:b/>
                <w:bCs/>
                <w:color w:val="auto"/>
                <w:sz w:val="24"/>
                <w:szCs w:val="24"/>
              </w:rPr>
            </w:pPr>
            <w:r>
              <w:rPr>
                <w:b/>
                <w:bCs/>
                <w:color w:val="auto"/>
                <w:spacing w:val="-2"/>
                <w:sz w:val="24"/>
                <w:szCs w:val="24"/>
              </w:rPr>
              <w:t>服务标准</w:t>
            </w:r>
          </w:p>
        </w:tc>
      </w:tr>
      <w:tr w14:paraId="5236F2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2" w:hRule="atLeast"/>
          <w:jc w:val="center"/>
        </w:trPr>
        <w:tc>
          <w:tcPr>
            <w:tcW w:w="1145" w:type="dxa"/>
            <w:noWrap w:val="0"/>
            <w:vAlign w:val="center"/>
          </w:tcPr>
          <w:p w14:paraId="6E9B21C9">
            <w:pPr>
              <w:spacing w:line="240" w:lineRule="auto"/>
              <w:jc w:val="center"/>
              <w:rPr>
                <w:rFonts w:ascii="Arial"/>
                <w:color w:val="auto"/>
                <w:sz w:val="24"/>
                <w:szCs w:val="24"/>
              </w:rPr>
            </w:pPr>
          </w:p>
          <w:p w14:paraId="61AF54E0">
            <w:pPr>
              <w:spacing w:line="240" w:lineRule="auto"/>
              <w:jc w:val="center"/>
              <w:rPr>
                <w:rFonts w:ascii="Arial"/>
                <w:color w:val="auto"/>
                <w:sz w:val="24"/>
                <w:szCs w:val="24"/>
              </w:rPr>
            </w:pPr>
          </w:p>
          <w:p w14:paraId="2E86FF4C">
            <w:pPr>
              <w:spacing w:line="240" w:lineRule="auto"/>
              <w:jc w:val="center"/>
              <w:rPr>
                <w:rFonts w:ascii="Arial"/>
                <w:color w:val="auto"/>
                <w:sz w:val="24"/>
                <w:szCs w:val="24"/>
              </w:rPr>
            </w:pPr>
          </w:p>
          <w:p w14:paraId="0A0DE7A1">
            <w:pPr>
              <w:spacing w:line="240" w:lineRule="auto"/>
              <w:jc w:val="center"/>
              <w:rPr>
                <w:rFonts w:hint="default" w:ascii="Arial"/>
                <w:color w:val="auto"/>
                <w:sz w:val="24"/>
                <w:szCs w:val="24"/>
                <w:lang w:val="en-US"/>
              </w:rPr>
            </w:pPr>
            <w:r>
              <w:rPr>
                <w:rFonts w:hint="eastAsia" w:ascii="Arial"/>
                <w:color w:val="auto"/>
                <w:sz w:val="24"/>
                <w:szCs w:val="24"/>
                <w:lang w:val="en-US" w:eastAsia="zh-CN"/>
              </w:rPr>
              <w:t>出入管理</w:t>
            </w:r>
          </w:p>
          <w:p w14:paraId="0C8DE684">
            <w:pPr>
              <w:spacing w:line="240" w:lineRule="auto"/>
              <w:jc w:val="center"/>
              <w:rPr>
                <w:rFonts w:ascii="Arial"/>
                <w:color w:val="auto"/>
                <w:sz w:val="24"/>
                <w:szCs w:val="24"/>
              </w:rPr>
            </w:pPr>
          </w:p>
          <w:p w14:paraId="0F963232">
            <w:pPr>
              <w:spacing w:line="240" w:lineRule="auto"/>
              <w:jc w:val="center"/>
              <w:rPr>
                <w:rFonts w:ascii="Arial"/>
                <w:color w:val="auto"/>
                <w:sz w:val="24"/>
                <w:szCs w:val="24"/>
              </w:rPr>
            </w:pPr>
          </w:p>
          <w:p w14:paraId="529A84B3">
            <w:pPr>
              <w:spacing w:before="46" w:line="240" w:lineRule="auto"/>
              <w:ind w:left="445"/>
              <w:jc w:val="center"/>
              <w:rPr>
                <w:rFonts w:ascii="Calibri" w:hAnsi="Calibri" w:eastAsia="Calibri" w:cs="Calibri"/>
                <w:color w:val="auto"/>
                <w:sz w:val="24"/>
                <w:szCs w:val="24"/>
              </w:rPr>
            </w:pPr>
          </w:p>
        </w:tc>
        <w:tc>
          <w:tcPr>
            <w:tcW w:w="7215" w:type="dxa"/>
            <w:noWrap w:val="0"/>
            <w:vAlign w:val="top"/>
          </w:tcPr>
          <w:p w14:paraId="7E0A77ED">
            <w:pPr>
              <w:pStyle w:val="11"/>
              <w:spacing w:line="240" w:lineRule="auto"/>
              <w:ind w:right="189"/>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rPr>
              <w:t>（1）建立</w:t>
            </w:r>
            <w:r>
              <w:rPr>
                <w:rFonts w:hint="eastAsia" w:cs="宋体"/>
                <w:color w:val="auto"/>
                <w:spacing w:val="-2"/>
                <w:sz w:val="24"/>
                <w:szCs w:val="24"/>
                <w:lang w:eastAsia="zh-CN"/>
              </w:rPr>
              <w:t>秩序</w:t>
            </w:r>
            <w:r>
              <w:rPr>
                <w:rFonts w:hint="eastAsia" w:ascii="宋体" w:hAnsi="宋体" w:eastAsia="宋体" w:cs="宋体"/>
                <w:color w:val="auto"/>
                <w:spacing w:val="-2"/>
                <w:sz w:val="24"/>
                <w:szCs w:val="24"/>
              </w:rPr>
              <w:t>服务相关制度，并按照执行。</w:t>
            </w:r>
          </w:p>
          <w:p w14:paraId="1D4CEBC0">
            <w:pPr>
              <w:pStyle w:val="11"/>
              <w:spacing w:line="240" w:lineRule="auto"/>
              <w:ind w:right="189"/>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rPr>
              <w:t>（2）对巡查、值守及异常情况等做好相关记录，填写规范，保存完好。</w:t>
            </w:r>
          </w:p>
          <w:p w14:paraId="4BCAB44E">
            <w:pPr>
              <w:pStyle w:val="11"/>
              <w:spacing w:line="240" w:lineRule="auto"/>
              <w:ind w:right="189"/>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rPr>
              <w:t>（3）配备</w:t>
            </w:r>
            <w:r>
              <w:rPr>
                <w:rFonts w:hint="eastAsia" w:cs="宋体"/>
                <w:color w:val="auto"/>
                <w:spacing w:val="-2"/>
                <w:sz w:val="24"/>
                <w:szCs w:val="24"/>
                <w:lang w:val="en-US" w:eastAsia="zh-CN"/>
              </w:rPr>
              <w:t>秩序</w:t>
            </w:r>
            <w:r>
              <w:rPr>
                <w:rFonts w:hint="eastAsia" w:ascii="宋体" w:hAnsi="宋体" w:eastAsia="宋体" w:cs="宋体"/>
                <w:color w:val="auto"/>
                <w:spacing w:val="-2"/>
                <w:sz w:val="24"/>
                <w:szCs w:val="24"/>
              </w:rPr>
              <w:t>服务必要的器材。</w:t>
            </w:r>
          </w:p>
          <w:p w14:paraId="20A14758">
            <w:pPr>
              <w:pStyle w:val="11"/>
              <w:spacing w:line="240" w:lineRule="auto"/>
              <w:ind w:right="189"/>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rPr>
              <w:t>（</w:t>
            </w:r>
            <w:r>
              <w:rPr>
                <w:rFonts w:hint="eastAsia" w:cs="宋体"/>
                <w:color w:val="auto"/>
                <w:spacing w:val="-2"/>
                <w:sz w:val="24"/>
                <w:szCs w:val="24"/>
                <w:lang w:val="en-US" w:eastAsia="zh-CN"/>
              </w:rPr>
              <w:t>4</w:t>
            </w:r>
            <w:r>
              <w:rPr>
                <w:rFonts w:hint="eastAsia" w:ascii="宋体" w:hAnsi="宋体" w:eastAsia="宋体" w:cs="宋体"/>
                <w:color w:val="auto"/>
                <w:spacing w:val="-2"/>
                <w:sz w:val="24"/>
                <w:szCs w:val="24"/>
              </w:rPr>
              <w:t>）办公楼（区）主出入口应当实行24小时值班制。</w:t>
            </w:r>
          </w:p>
          <w:p w14:paraId="6E6A8E9A">
            <w:pPr>
              <w:pStyle w:val="11"/>
              <w:spacing w:line="240" w:lineRule="auto"/>
              <w:ind w:right="189"/>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rPr>
              <w:t>（</w:t>
            </w:r>
            <w:r>
              <w:rPr>
                <w:rFonts w:hint="eastAsia" w:cs="宋体"/>
                <w:color w:val="auto"/>
                <w:spacing w:val="-2"/>
                <w:sz w:val="24"/>
                <w:szCs w:val="24"/>
                <w:lang w:val="en-US" w:eastAsia="zh-CN"/>
              </w:rPr>
              <w:t>5</w:t>
            </w:r>
            <w:r>
              <w:rPr>
                <w:rFonts w:hint="eastAsia" w:ascii="宋体" w:hAnsi="宋体" w:eastAsia="宋体" w:cs="宋体"/>
                <w:color w:val="auto"/>
                <w:spacing w:val="-2"/>
                <w:sz w:val="24"/>
                <w:szCs w:val="24"/>
              </w:rPr>
              <w:t>）设置门岗。</w:t>
            </w:r>
          </w:p>
          <w:p w14:paraId="672538EC">
            <w:pPr>
              <w:pStyle w:val="11"/>
              <w:spacing w:line="240" w:lineRule="auto"/>
              <w:ind w:right="189"/>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rPr>
              <w:t>（</w:t>
            </w:r>
            <w:r>
              <w:rPr>
                <w:rFonts w:hint="eastAsia" w:cs="宋体"/>
                <w:color w:val="auto"/>
                <w:spacing w:val="-2"/>
                <w:sz w:val="24"/>
                <w:szCs w:val="24"/>
                <w:lang w:val="en-US" w:eastAsia="zh-CN"/>
              </w:rPr>
              <w:t>6</w:t>
            </w:r>
            <w:r>
              <w:rPr>
                <w:rFonts w:hint="eastAsia" w:ascii="宋体" w:hAnsi="宋体" w:eastAsia="宋体" w:cs="宋体"/>
                <w:color w:val="auto"/>
                <w:spacing w:val="-2"/>
                <w:sz w:val="24"/>
                <w:szCs w:val="24"/>
              </w:rPr>
              <w:t>）在出入口对外来人员及其携带大件物品、外来车辆进行询问和记录，并与相关部门取得联系，同意后方可进入。</w:t>
            </w:r>
          </w:p>
          <w:p w14:paraId="0C1CA185">
            <w:pPr>
              <w:pStyle w:val="11"/>
              <w:spacing w:line="240" w:lineRule="auto"/>
              <w:ind w:right="189"/>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rPr>
              <w:t>（</w:t>
            </w:r>
            <w:r>
              <w:rPr>
                <w:rFonts w:hint="eastAsia" w:cs="宋体"/>
                <w:color w:val="auto"/>
                <w:spacing w:val="-2"/>
                <w:sz w:val="24"/>
                <w:szCs w:val="24"/>
                <w:lang w:val="en-US" w:eastAsia="zh-CN"/>
              </w:rPr>
              <w:t>7</w:t>
            </w:r>
            <w:r>
              <w:rPr>
                <w:rFonts w:hint="eastAsia" w:ascii="宋体" w:hAnsi="宋体" w:eastAsia="宋体" w:cs="宋体"/>
                <w:color w:val="auto"/>
                <w:spacing w:val="-2"/>
                <w:sz w:val="24"/>
                <w:szCs w:val="24"/>
              </w:rPr>
              <w:t>）大件物品搬出有相关部门开具的证明和清单，经核实后放行。</w:t>
            </w:r>
          </w:p>
          <w:p w14:paraId="51387D14">
            <w:pPr>
              <w:pStyle w:val="11"/>
              <w:spacing w:line="240" w:lineRule="auto"/>
              <w:ind w:right="189"/>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rPr>
              <w:t>（</w:t>
            </w:r>
            <w:r>
              <w:rPr>
                <w:rFonts w:hint="eastAsia" w:cs="宋体"/>
                <w:color w:val="auto"/>
                <w:spacing w:val="-2"/>
                <w:sz w:val="24"/>
                <w:szCs w:val="24"/>
                <w:lang w:val="en-US" w:eastAsia="zh-CN"/>
              </w:rPr>
              <w:t>8</w:t>
            </w:r>
            <w:r>
              <w:rPr>
                <w:rFonts w:hint="eastAsia" w:ascii="宋体" w:hAnsi="宋体" w:eastAsia="宋体" w:cs="宋体"/>
                <w:color w:val="auto"/>
                <w:spacing w:val="-2"/>
                <w:sz w:val="24"/>
                <w:szCs w:val="24"/>
              </w:rPr>
              <w:t>）排查可疑人员，对于不出示证件、不按规定登记、不听劝阻而强行闯入者，及时劝离，必要时通知公安机关进行处理。</w:t>
            </w:r>
          </w:p>
          <w:p w14:paraId="2CFBA4DC">
            <w:pPr>
              <w:pStyle w:val="11"/>
              <w:spacing w:line="240" w:lineRule="auto"/>
              <w:ind w:right="189"/>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rPr>
              <w:t>（</w:t>
            </w:r>
            <w:r>
              <w:rPr>
                <w:rFonts w:hint="eastAsia" w:cs="宋体"/>
                <w:color w:val="auto"/>
                <w:spacing w:val="-2"/>
                <w:sz w:val="24"/>
                <w:szCs w:val="24"/>
                <w:lang w:val="en-US" w:eastAsia="zh-CN"/>
              </w:rPr>
              <w:t>9</w:t>
            </w:r>
            <w:r>
              <w:rPr>
                <w:rFonts w:hint="eastAsia" w:ascii="宋体" w:hAnsi="宋体" w:eastAsia="宋体" w:cs="宋体"/>
                <w:color w:val="auto"/>
                <w:spacing w:val="-2"/>
                <w:sz w:val="24"/>
                <w:szCs w:val="24"/>
              </w:rPr>
              <w:t>）配合相关部门积极疏导上访人员，有效疏导如出入口人群集聚、车辆拥堵、货物堵塞道路等情况。</w:t>
            </w:r>
          </w:p>
          <w:p w14:paraId="1F917C3C">
            <w:pPr>
              <w:pStyle w:val="11"/>
              <w:spacing w:line="240" w:lineRule="auto"/>
              <w:ind w:right="189"/>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rPr>
              <w:t>（</w:t>
            </w:r>
            <w:r>
              <w:rPr>
                <w:rFonts w:hint="eastAsia" w:cs="宋体"/>
                <w:color w:val="auto"/>
                <w:spacing w:val="-2"/>
                <w:sz w:val="24"/>
                <w:szCs w:val="24"/>
                <w:lang w:val="en-US" w:eastAsia="zh-CN"/>
              </w:rPr>
              <w:t>10</w:t>
            </w:r>
            <w:r>
              <w:rPr>
                <w:rFonts w:hint="eastAsia" w:ascii="宋体" w:hAnsi="宋体" w:eastAsia="宋体" w:cs="宋体"/>
                <w:color w:val="auto"/>
                <w:spacing w:val="-2"/>
                <w:sz w:val="24"/>
                <w:szCs w:val="24"/>
              </w:rPr>
              <w:t>）根据物业服务合同约定，对物品进出实行安检、登记、电话确认等分类管理措施。大宗物品进出会同接收单位收件人审检，严防违禁品（包括毒品、军火弹药、管制刀具、易燃易爆品等）、限带品（包括动物、任何未经授权的专业摄影设备、无人机等）进入。</w:t>
            </w:r>
          </w:p>
          <w:p w14:paraId="2CEE222F">
            <w:pPr>
              <w:pStyle w:val="11"/>
              <w:spacing w:line="240" w:lineRule="auto"/>
              <w:ind w:right="189"/>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rPr>
              <w:t>（</w:t>
            </w:r>
            <w:r>
              <w:rPr>
                <w:rFonts w:hint="eastAsia" w:cs="宋体"/>
                <w:color w:val="auto"/>
                <w:spacing w:val="-2"/>
                <w:sz w:val="24"/>
                <w:szCs w:val="24"/>
                <w:lang w:val="en-US" w:eastAsia="zh-CN"/>
              </w:rPr>
              <w:t>11</w:t>
            </w:r>
            <w:r>
              <w:rPr>
                <w:rFonts w:hint="eastAsia" w:ascii="宋体" w:hAnsi="宋体" w:eastAsia="宋体" w:cs="宋体"/>
                <w:color w:val="auto"/>
                <w:spacing w:val="-2"/>
                <w:sz w:val="24"/>
                <w:szCs w:val="24"/>
              </w:rPr>
              <w:t>）提供现场接待服务。</w:t>
            </w:r>
          </w:p>
          <w:p w14:paraId="414848F9">
            <w:pPr>
              <w:pStyle w:val="11"/>
              <w:spacing w:line="240" w:lineRule="auto"/>
              <w:ind w:left="84" w:right="189" w:firstLine="183"/>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rPr>
              <w:t>①做好来访人员、车辆进出证件登记，及时通报。</w:t>
            </w:r>
          </w:p>
          <w:p w14:paraId="28EB379F">
            <w:pPr>
              <w:pStyle w:val="11"/>
              <w:spacing w:line="240" w:lineRule="auto"/>
              <w:ind w:left="84" w:right="189" w:firstLine="183"/>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rPr>
              <w:t>②严禁无关人员、可疑人员和危险物品进入办公楼（区）内。</w:t>
            </w:r>
          </w:p>
          <w:p w14:paraId="45F1AF5C">
            <w:pPr>
              <w:pStyle w:val="11"/>
              <w:spacing w:line="240" w:lineRule="auto"/>
              <w:ind w:left="84" w:right="189" w:firstLine="183"/>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rPr>
              <w:t>③物品摆放整齐有序、分类放置。</w:t>
            </w:r>
          </w:p>
          <w:p w14:paraId="62617AEE">
            <w:pPr>
              <w:pStyle w:val="11"/>
              <w:spacing w:line="240" w:lineRule="auto"/>
              <w:ind w:left="84" w:right="189" w:firstLine="183"/>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rPr>
              <w:t>④现场办理等待时间不超过5分钟，等待较长时间应当及时沟通。</w:t>
            </w:r>
          </w:p>
          <w:p w14:paraId="5DA12029">
            <w:pPr>
              <w:pStyle w:val="11"/>
              <w:spacing w:line="240" w:lineRule="auto"/>
              <w:ind w:left="84" w:right="189" w:firstLine="183"/>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rPr>
              <w:t>⑤对来访人员咨询、建议、求助等事项，及时处理或答复，处理和答复率100%。</w:t>
            </w:r>
          </w:p>
          <w:p w14:paraId="5E2A90FD">
            <w:pPr>
              <w:pStyle w:val="11"/>
              <w:spacing w:line="240" w:lineRule="auto"/>
              <w:ind w:left="84" w:right="189" w:firstLine="183"/>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rPr>
              <w:t>⑥接待服务工作时间应当覆盖采购人工作时间（上班时间为—-）。</w:t>
            </w:r>
          </w:p>
          <w:p w14:paraId="010BB054">
            <w:pPr>
              <w:pStyle w:val="11"/>
              <w:spacing w:line="240" w:lineRule="auto"/>
              <w:ind w:left="84" w:right="189" w:firstLine="183"/>
              <w:rPr>
                <w:rFonts w:hint="eastAsia" w:ascii="宋体" w:hAnsi="宋体" w:eastAsia="宋体" w:cs="宋体"/>
                <w:color w:val="auto"/>
                <w:sz w:val="24"/>
                <w:szCs w:val="24"/>
              </w:rPr>
            </w:pPr>
            <w:r>
              <w:rPr>
                <w:rFonts w:hint="eastAsia" w:ascii="宋体" w:hAnsi="宋体" w:eastAsia="宋体" w:cs="宋体"/>
                <w:color w:val="auto"/>
                <w:spacing w:val="-2"/>
                <w:sz w:val="24"/>
                <w:szCs w:val="24"/>
              </w:rPr>
              <w:t>⑦与被访人进行核实确认；告知被访人的办公室门牌号；告知访客注意事项（根据实际需要填写注意事项）。</w:t>
            </w:r>
          </w:p>
        </w:tc>
      </w:tr>
      <w:tr w14:paraId="1914D5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07" w:hRule="atLeast"/>
          <w:jc w:val="center"/>
        </w:trPr>
        <w:tc>
          <w:tcPr>
            <w:tcW w:w="1145" w:type="dxa"/>
            <w:noWrap w:val="0"/>
            <w:vAlign w:val="center"/>
          </w:tcPr>
          <w:p w14:paraId="29BAFA4E">
            <w:pPr>
              <w:spacing w:before="46" w:line="240" w:lineRule="auto"/>
              <w:jc w:val="center"/>
              <w:rPr>
                <w:rFonts w:hint="default" w:ascii="Calibri" w:hAnsi="Calibri" w:eastAsia="宋体" w:cs="Calibri"/>
                <w:color w:val="auto"/>
                <w:sz w:val="24"/>
                <w:szCs w:val="24"/>
                <w:lang w:val="en-US" w:eastAsia="zh-CN"/>
              </w:rPr>
            </w:pPr>
            <w:r>
              <w:rPr>
                <w:rFonts w:hint="eastAsia" w:ascii="Calibri" w:hAnsi="Calibri" w:eastAsia="宋体" w:cs="Calibri"/>
                <w:color w:val="auto"/>
                <w:sz w:val="24"/>
                <w:szCs w:val="24"/>
                <w:lang w:val="en-US" w:eastAsia="zh-CN"/>
              </w:rPr>
              <w:t>监控值班</w:t>
            </w:r>
          </w:p>
        </w:tc>
        <w:tc>
          <w:tcPr>
            <w:tcW w:w="7215" w:type="dxa"/>
            <w:noWrap w:val="0"/>
            <w:vAlign w:val="top"/>
          </w:tcPr>
          <w:p w14:paraId="3CB40F4B">
            <w:pPr>
              <w:pStyle w:val="11"/>
              <w:spacing w:line="240" w:lineRule="auto"/>
              <w:ind w:right="189"/>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rPr>
              <w:t>（1）建立24小时值班巡查制度。</w:t>
            </w:r>
          </w:p>
          <w:p w14:paraId="2241E3E7">
            <w:pPr>
              <w:pStyle w:val="11"/>
              <w:spacing w:line="240" w:lineRule="auto"/>
              <w:ind w:right="189"/>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rPr>
              <w:t>（2）制定巡查路线，按照指定时间和路线执行，加强重点区域、重点部位及装修区域的巡查。</w:t>
            </w:r>
          </w:p>
          <w:p w14:paraId="109B31F9">
            <w:pPr>
              <w:pStyle w:val="11"/>
              <w:spacing w:line="240" w:lineRule="auto"/>
              <w:ind w:right="189"/>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rPr>
              <w:t>（3）巡查期间保持通信设施设备畅通，遇到异常情况立即上报并在现场采取相应措施。</w:t>
            </w:r>
          </w:p>
          <w:p w14:paraId="68E6F8CA">
            <w:pPr>
              <w:pStyle w:val="11"/>
              <w:spacing w:line="240" w:lineRule="auto"/>
              <w:ind w:right="189"/>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rPr>
              <w:t>（4）收到监控室指令后，巡查人员及时到达指定地点并迅速采取相应措施。</w:t>
            </w:r>
          </w:p>
          <w:p w14:paraId="44BD5602">
            <w:pPr>
              <w:pStyle w:val="11"/>
              <w:spacing w:line="240" w:lineRule="auto"/>
              <w:ind w:right="189"/>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rPr>
              <w:t>（</w:t>
            </w:r>
            <w:r>
              <w:rPr>
                <w:rFonts w:hint="eastAsia" w:cs="宋体"/>
                <w:color w:val="auto"/>
                <w:spacing w:val="-2"/>
                <w:sz w:val="24"/>
                <w:szCs w:val="24"/>
                <w:lang w:val="en-US" w:eastAsia="zh-CN"/>
              </w:rPr>
              <w:t>5</w:t>
            </w:r>
            <w:r>
              <w:rPr>
                <w:rFonts w:hint="eastAsia" w:ascii="宋体" w:hAnsi="宋体" w:eastAsia="宋体" w:cs="宋体"/>
                <w:color w:val="auto"/>
                <w:spacing w:val="-2"/>
                <w:sz w:val="24"/>
                <w:szCs w:val="24"/>
              </w:rPr>
              <w:t>）监控室环境符合系统设备运行要求，定期进行检查和检测，确保系统功能正常。</w:t>
            </w:r>
          </w:p>
          <w:p w14:paraId="4439B1AD">
            <w:pPr>
              <w:pStyle w:val="11"/>
              <w:spacing w:line="240" w:lineRule="auto"/>
              <w:ind w:right="189"/>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rPr>
              <w:t>（</w:t>
            </w:r>
            <w:r>
              <w:rPr>
                <w:rFonts w:hint="eastAsia" w:cs="宋体"/>
                <w:color w:val="auto"/>
                <w:spacing w:val="-2"/>
                <w:sz w:val="24"/>
                <w:szCs w:val="24"/>
                <w:lang w:val="en-US" w:eastAsia="zh-CN"/>
              </w:rPr>
              <w:t>6</w:t>
            </w:r>
            <w:r>
              <w:rPr>
                <w:rFonts w:hint="eastAsia" w:ascii="宋体" w:hAnsi="宋体" w:eastAsia="宋体" w:cs="宋体"/>
                <w:color w:val="auto"/>
                <w:spacing w:val="-2"/>
                <w:sz w:val="24"/>
                <w:szCs w:val="24"/>
              </w:rPr>
              <w:t>）监控设备24小时正常运行，监控室实行专人24小时值班制度。</w:t>
            </w:r>
          </w:p>
          <w:p w14:paraId="58A7F597">
            <w:pPr>
              <w:pStyle w:val="11"/>
              <w:spacing w:line="240" w:lineRule="auto"/>
              <w:ind w:right="189"/>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rPr>
              <w:t>（</w:t>
            </w:r>
            <w:r>
              <w:rPr>
                <w:rFonts w:hint="eastAsia" w:cs="宋体"/>
                <w:color w:val="auto"/>
                <w:spacing w:val="-2"/>
                <w:sz w:val="24"/>
                <w:szCs w:val="24"/>
                <w:lang w:val="en-US" w:eastAsia="zh-CN"/>
              </w:rPr>
              <w:t>7</w:t>
            </w:r>
            <w:r>
              <w:rPr>
                <w:rFonts w:hint="eastAsia" w:ascii="宋体" w:hAnsi="宋体" w:eastAsia="宋体" w:cs="宋体"/>
                <w:color w:val="auto"/>
                <w:spacing w:val="-2"/>
                <w:sz w:val="24"/>
                <w:szCs w:val="24"/>
              </w:rPr>
              <w:t>）监控记录画面清晰，视频监控无死角、无盲区。</w:t>
            </w:r>
          </w:p>
          <w:p w14:paraId="3063F9ED">
            <w:pPr>
              <w:pStyle w:val="11"/>
              <w:spacing w:line="240" w:lineRule="auto"/>
              <w:ind w:right="189"/>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rPr>
              <w:t>（</w:t>
            </w:r>
            <w:r>
              <w:rPr>
                <w:rFonts w:hint="eastAsia" w:cs="宋体"/>
                <w:color w:val="auto"/>
                <w:spacing w:val="-2"/>
                <w:sz w:val="24"/>
                <w:szCs w:val="24"/>
                <w:lang w:val="en-US" w:eastAsia="zh-CN"/>
              </w:rPr>
              <w:t>8</w:t>
            </w:r>
            <w:r>
              <w:rPr>
                <w:rFonts w:hint="eastAsia" w:ascii="宋体" w:hAnsi="宋体" w:eastAsia="宋体" w:cs="宋体"/>
                <w:color w:val="auto"/>
                <w:spacing w:val="-2"/>
                <w:sz w:val="24"/>
                <w:szCs w:val="24"/>
              </w:rPr>
              <w:t>）值班期间遵守操作规程和保密制度，做好监控记录的保存工作。</w:t>
            </w:r>
          </w:p>
          <w:p w14:paraId="19B3516B">
            <w:pPr>
              <w:pStyle w:val="11"/>
              <w:spacing w:line="240" w:lineRule="auto"/>
              <w:ind w:right="189"/>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rPr>
              <w:t>（</w:t>
            </w:r>
            <w:r>
              <w:rPr>
                <w:rFonts w:hint="eastAsia" w:cs="宋体"/>
                <w:color w:val="auto"/>
                <w:spacing w:val="-2"/>
                <w:sz w:val="24"/>
                <w:szCs w:val="24"/>
                <w:lang w:val="en-US" w:eastAsia="zh-CN"/>
              </w:rPr>
              <w:t>9</w:t>
            </w:r>
            <w:r>
              <w:rPr>
                <w:rFonts w:hint="eastAsia" w:ascii="宋体" w:hAnsi="宋体" w:eastAsia="宋体" w:cs="宋体"/>
                <w:color w:val="auto"/>
                <w:spacing w:val="-2"/>
                <w:sz w:val="24"/>
                <w:szCs w:val="24"/>
              </w:rPr>
              <w:t>）监控记录保持完整，保存时间不应少于90天。</w:t>
            </w:r>
          </w:p>
          <w:p w14:paraId="50DCD206">
            <w:pPr>
              <w:pStyle w:val="11"/>
              <w:spacing w:line="240" w:lineRule="auto"/>
              <w:ind w:right="189"/>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rPr>
              <w:t>（</w:t>
            </w:r>
            <w:r>
              <w:rPr>
                <w:rFonts w:hint="eastAsia" w:cs="宋体"/>
                <w:color w:val="auto"/>
                <w:spacing w:val="-2"/>
                <w:sz w:val="24"/>
                <w:szCs w:val="24"/>
                <w:lang w:val="en-US" w:eastAsia="zh-CN"/>
              </w:rPr>
              <w:t>10</w:t>
            </w:r>
            <w:r>
              <w:rPr>
                <w:rFonts w:hint="eastAsia" w:ascii="宋体" w:hAnsi="宋体" w:eastAsia="宋体" w:cs="宋体"/>
                <w:color w:val="auto"/>
                <w:spacing w:val="-2"/>
                <w:sz w:val="24"/>
                <w:szCs w:val="24"/>
              </w:rPr>
              <w:t>）无关人员进入监控室或查阅监控记录，经授权人批准并做好相关记录。</w:t>
            </w:r>
          </w:p>
          <w:p w14:paraId="63EF0E6F">
            <w:pPr>
              <w:pStyle w:val="11"/>
              <w:spacing w:line="240" w:lineRule="auto"/>
              <w:ind w:right="189"/>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rPr>
              <w:t>（</w:t>
            </w:r>
            <w:r>
              <w:rPr>
                <w:rFonts w:hint="eastAsia" w:cs="宋体"/>
                <w:color w:val="auto"/>
                <w:spacing w:val="-2"/>
                <w:sz w:val="24"/>
                <w:szCs w:val="24"/>
                <w:lang w:val="en-US" w:eastAsia="zh-CN"/>
              </w:rPr>
              <w:t>11</w:t>
            </w:r>
            <w:r>
              <w:rPr>
                <w:rFonts w:hint="eastAsia" w:ascii="宋体" w:hAnsi="宋体" w:eastAsia="宋体" w:cs="宋体"/>
                <w:color w:val="auto"/>
                <w:spacing w:val="-2"/>
                <w:sz w:val="24"/>
                <w:szCs w:val="24"/>
              </w:rPr>
              <w:t>）监控室收到火情等报警信号、其他异常情况信号后，及时报警并安排其他安保人员前往现场进行处理。</w:t>
            </w:r>
          </w:p>
        </w:tc>
      </w:tr>
      <w:tr w14:paraId="5E5CE9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07" w:hRule="atLeast"/>
          <w:jc w:val="center"/>
        </w:trPr>
        <w:tc>
          <w:tcPr>
            <w:tcW w:w="1145" w:type="dxa"/>
            <w:noWrap w:val="0"/>
            <w:vAlign w:val="center"/>
          </w:tcPr>
          <w:p w14:paraId="74F1D051">
            <w:pPr>
              <w:spacing w:before="46" w:line="240" w:lineRule="auto"/>
              <w:jc w:val="center"/>
              <w:rPr>
                <w:rFonts w:hint="default" w:ascii="Calibri" w:hAnsi="Calibri" w:eastAsia="宋体" w:cs="Calibri"/>
                <w:color w:val="auto"/>
                <w:sz w:val="24"/>
                <w:szCs w:val="24"/>
                <w:lang w:val="en-US" w:eastAsia="zh-CN"/>
              </w:rPr>
            </w:pPr>
            <w:r>
              <w:rPr>
                <w:rFonts w:hint="eastAsia" w:ascii="Calibri" w:hAnsi="Calibri" w:eastAsia="宋体" w:cs="Calibri"/>
                <w:color w:val="auto"/>
                <w:sz w:val="24"/>
                <w:szCs w:val="24"/>
                <w:lang w:val="en-US" w:eastAsia="zh-CN"/>
              </w:rPr>
              <w:t>车辆停放</w:t>
            </w:r>
          </w:p>
        </w:tc>
        <w:tc>
          <w:tcPr>
            <w:tcW w:w="7215" w:type="dxa"/>
            <w:noWrap w:val="0"/>
            <w:vAlign w:val="top"/>
          </w:tcPr>
          <w:p w14:paraId="54421915">
            <w:pPr>
              <w:pStyle w:val="11"/>
              <w:spacing w:line="240" w:lineRule="auto"/>
              <w:ind w:right="189"/>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rPr>
              <w:t>（1）车辆行驶路线设置合理、规范，导向标志完整、清晰。</w:t>
            </w:r>
          </w:p>
          <w:p w14:paraId="5C98A698">
            <w:pPr>
              <w:pStyle w:val="11"/>
              <w:spacing w:line="240" w:lineRule="auto"/>
              <w:ind w:right="189"/>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rPr>
              <w:t>（2）合理规划车辆停放区域，张贴车辆引导标识，对车辆及停放区域实行规范管理。</w:t>
            </w:r>
          </w:p>
          <w:p w14:paraId="1DBA1908">
            <w:pPr>
              <w:pStyle w:val="11"/>
              <w:spacing w:line="240" w:lineRule="auto"/>
              <w:ind w:right="189"/>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rPr>
              <w:t>（3）严禁在办公楼的公用走道、楼梯间、安全出口处等公共区域停放车辆或充电。</w:t>
            </w:r>
          </w:p>
          <w:p w14:paraId="30F6844C">
            <w:pPr>
              <w:pStyle w:val="11"/>
              <w:spacing w:line="240" w:lineRule="auto"/>
              <w:ind w:right="189"/>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rPr>
              <w:t>（4）非机动车定点有序停放。</w:t>
            </w:r>
          </w:p>
          <w:p w14:paraId="50E028A8">
            <w:pPr>
              <w:pStyle w:val="11"/>
              <w:spacing w:line="240" w:lineRule="auto"/>
              <w:ind w:right="189"/>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rPr>
              <w:t>（5）发现车辆异常情况及时通知车主，并做好登记；发生交通事故、自然灾害等意外事故时及时赶赴现场疏导和协助处理，响应时间不超过3分钟。</w:t>
            </w:r>
          </w:p>
        </w:tc>
      </w:tr>
      <w:tr w14:paraId="506DAE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2" w:hRule="atLeast"/>
          <w:jc w:val="center"/>
        </w:trPr>
        <w:tc>
          <w:tcPr>
            <w:tcW w:w="1145" w:type="dxa"/>
            <w:noWrap w:val="0"/>
            <w:vAlign w:val="center"/>
          </w:tcPr>
          <w:p w14:paraId="48F703D8">
            <w:pPr>
              <w:spacing w:before="46" w:line="240" w:lineRule="auto"/>
              <w:jc w:val="center"/>
              <w:rPr>
                <w:rFonts w:ascii="Calibri" w:hAnsi="Calibri" w:eastAsia="Calibri" w:cs="Calibri"/>
                <w:color w:val="auto"/>
                <w:sz w:val="24"/>
                <w:szCs w:val="24"/>
              </w:rPr>
            </w:pPr>
            <w:r>
              <w:rPr>
                <w:rFonts w:hint="eastAsia" w:ascii="Calibri" w:hAnsi="Calibri" w:eastAsia="Calibri" w:cs="Calibri"/>
                <w:color w:val="auto"/>
                <w:sz w:val="24"/>
                <w:szCs w:val="24"/>
              </w:rPr>
              <w:t>消防安全管理</w:t>
            </w:r>
          </w:p>
        </w:tc>
        <w:tc>
          <w:tcPr>
            <w:tcW w:w="7215" w:type="dxa"/>
            <w:noWrap w:val="0"/>
            <w:vAlign w:val="top"/>
          </w:tcPr>
          <w:p w14:paraId="6F0107EB">
            <w:pPr>
              <w:pStyle w:val="11"/>
              <w:spacing w:line="240" w:lineRule="auto"/>
              <w:ind w:right="189"/>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rPr>
              <w:t>（1）建立消防安全责任制，确定各级消防安全责任人及其职责。</w:t>
            </w:r>
          </w:p>
          <w:p w14:paraId="144B01FC">
            <w:pPr>
              <w:pStyle w:val="11"/>
              <w:spacing w:line="240" w:lineRule="auto"/>
              <w:ind w:right="189"/>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rPr>
              <w:t>（2）消防控制室实行24小时值班制度，每班不少于2人。</w:t>
            </w:r>
          </w:p>
          <w:p w14:paraId="000D4C17">
            <w:pPr>
              <w:pStyle w:val="11"/>
              <w:spacing w:line="240" w:lineRule="auto"/>
              <w:ind w:right="189"/>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rPr>
              <w:t>（3）消火栓、应急照明、应急物资、消防及人员逃生通道、消防车通道可随时正常使用。</w:t>
            </w:r>
          </w:p>
          <w:p w14:paraId="0FF4CFB7">
            <w:pPr>
              <w:pStyle w:val="11"/>
              <w:spacing w:line="240" w:lineRule="auto"/>
              <w:ind w:right="189"/>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rPr>
              <w:t>（4）易燃易爆品设专区专人管理，做好相关记录。</w:t>
            </w:r>
          </w:p>
          <w:p w14:paraId="0DBEB3AA">
            <w:pPr>
              <w:pStyle w:val="11"/>
              <w:spacing w:line="240" w:lineRule="auto"/>
              <w:ind w:right="189"/>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rPr>
              <w:t>（5）定期组织消防安全宣传，每半年至少开展1次消防演练。</w:t>
            </w:r>
          </w:p>
        </w:tc>
      </w:tr>
      <w:tr w14:paraId="27537D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7" w:hRule="atLeast"/>
          <w:jc w:val="center"/>
        </w:trPr>
        <w:tc>
          <w:tcPr>
            <w:tcW w:w="1145" w:type="dxa"/>
            <w:noWrap w:val="0"/>
            <w:vAlign w:val="center"/>
          </w:tcPr>
          <w:p w14:paraId="48DF519C">
            <w:pPr>
              <w:spacing w:before="46" w:line="240" w:lineRule="auto"/>
              <w:jc w:val="center"/>
              <w:rPr>
                <w:rFonts w:hint="default" w:ascii="Calibri" w:hAnsi="Calibri" w:eastAsia="宋体" w:cs="Calibri"/>
                <w:color w:val="auto"/>
                <w:sz w:val="24"/>
                <w:szCs w:val="24"/>
                <w:lang w:val="en-US" w:eastAsia="zh-CN"/>
              </w:rPr>
            </w:pPr>
            <w:r>
              <w:rPr>
                <w:rFonts w:hint="eastAsia" w:ascii="Calibri" w:hAnsi="Calibri" w:eastAsia="宋体" w:cs="Calibri"/>
                <w:color w:val="auto"/>
                <w:sz w:val="24"/>
                <w:szCs w:val="24"/>
                <w:lang w:val="en-US" w:eastAsia="zh-CN"/>
              </w:rPr>
              <w:t>突发事件及大型活动管理</w:t>
            </w:r>
          </w:p>
        </w:tc>
        <w:tc>
          <w:tcPr>
            <w:tcW w:w="7215" w:type="dxa"/>
            <w:noWrap w:val="0"/>
            <w:vAlign w:val="top"/>
          </w:tcPr>
          <w:p w14:paraId="2D8DAE9E">
            <w:pPr>
              <w:pStyle w:val="11"/>
              <w:spacing w:line="240" w:lineRule="auto"/>
              <w:ind w:right="189"/>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rPr>
              <w:t>（1）制定突发事件安全责任书，明确突发事件责任人及应承担的安全责任。</w:t>
            </w:r>
          </w:p>
          <w:p w14:paraId="22CCACAD">
            <w:pPr>
              <w:pStyle w:val="11"/>
              <w:spacing w:line="240" w:lineRule="auto"/>
              <w:ind w:right="189"/>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rPr>
              <w:t>（2）建立应急突发事件处置队伍，明确各自的职责。</w:t>
            </w:r>
          </w:p>
          <w:p w14:paraId="6ECF01F4">
            <w:pPr>
              <w:pStyle w:val="11"/>
              <w:spacing w:line="240" w:lineRule="auto"/>
              <w:ind w:right="189"/>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rPr>
              <w:t>（3）识别、分析各种潜在风险，针对不同风险类型制定相应解决方案，并配备应急物资。</w:t>
            </w:r>
          </w:p>
          <w:p w14:paraId="508CB592">
            <w:pPr>
              <w:pStyle w:val="11"/>
              <w:spacing w:line="240" w:lineRule="auto"/>
              <w:ind w:right="189"/>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rPr>
              <w:t>（4）每半年至少开展1次突发事件应急演练，并有相应记录。</w:t>
            </w:r>
          </w:p>
          <w:p w14:paraId="0A6B54B9">
            <w:pPr>
              <w:pStyle w:val="11"/>
              <w:spacing w:line="240" w:lineRule="auto"/>
              <w:ind w:right="189"/>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rPr>
              <w:t>（5）发生意外事件时，及时采取应急措施，维护办公区域物业服务正常进行，保护人身财产安全。</w:t>
            </w:r>
          </w:p>
          <w:p w14:paraId="4EA12041">
            <w:pPr>
              <w:pStyle w:val="11"/>
              <w:spacing w:line="240" w:lineRule="auto"/>
              <w:ind w:right="189"/>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rPr>
              <w:t>（6）办公区域物业服务应急预案终止实施后，积极采取措施，在尽可能短的时间内，消除事故带来的不良影响，妥善安置和慰问受害及受影响的人员和部门。</w:t>
            </w:r>
          </w:p>
          <w:p w14:paraId="003C72E8">
            <w:pPr>
              <w:pStyle w:val="11"/>
              <w:spacing w:line="240" w:lineRule="auto"/>
              <w:ind w:right="189"/>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rPr>
              <w:t>（7）事故处理后，及时形成事故应急总结报告，完善应急救援工作方案。</w:t>
            </w:r>
          </w:p>
          <w:p w14:paraId="0E15767C">
            <w:pPr>
              <w:pStyle w:val="11"/>
              <w:spacing w:line="240" w:lineRule="auto"/>
              <w:ind w:right="189"/>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rPr>
              <w:t>（</w:t>
            </w:r>
            <w:r>
              <w:rPr>
                <w:rFonts w:hint="eastAsia" w:cs="宋体"/>
                <w:color w:val="auto"/>
                <w:spacing w:val="-2"/>
                <w:sz w:val="24"/>
                <w:szCs w:val="24"/>
                <w:lang w:val="en-US" w:eastAsia="zh-CN"/>
              </w:rPr>
              <w:t>8</w:t>
            </w:r>
            <w:r>
              <w:rPr>
                <w:rFonts w:hint="eastAsia" w:ascii="宋体" w:hAnsi="宋体" w:eastAsia="宋体" w:cs="宋体"/>
                <w:color w:val="auto"/>
                <w:spacing w:val="-2"/>
                <w:sz w:val="24"/>
                <w:szCs w:val="24"/>
              </w:rPr>
              <w:t>）制定相应的活动秩序维护方案，合理安排人员，并对场所的安全隐患进行排查。</w:t>
            </w:r>
          </w:p>
          <w:p w14:paraId="3F06C268">
            <w:pPr>
              <w:pStyle w:val="11"/>
              <w:spacing w:line="240" w:lineRule="auto"/>
              <w:ind w:right="189"/>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rPr>
              <w:t>（</w:t>
            </w:r>
            <w:r>
              <w:rPr>
                <w:rFonts w:hint="eastAsia" w:cs="宋体"/>
                <w:color w:val="auto"/>
                <w:spacing w:val="-2"/>
                <w:sz w:val="24"/>
                <w:szCs w:val="24"/>
                <w:lang w:val="en-US" w:eastAsia="zh-CN"/>
              </w:rPr>
              <w:t>9</w:t>
            </w:r>
            <w:r>
              <w:rPr>
                <w:rFonts w:hint="eastAsia" w:ascii="宋体" w:hAnsi="宋体" w:eastAsia="宋体" w:cs="宋体"/>
                <w:color w:val="auto"/>
                <w:spacing w:val="-2"/>
                <w:sz w:val="24"/>
                <w:szCs w:val="24"/>
              </w:rPr>
              <w:t>）应当保障通道、出入口、停车场等区域畅通。</w:t>
            </w:r>
          </w:p>
          <w:p w14:paraId="48AF59F4">
            <w:pPr>
              <w:pStyle w:val="11"/>
              <w:spacing w:line="240" w:lineRule="auto"/>
              <w:ind w:right="189"/>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rPr>
              <w:t>（</w:t>
            </w:r>
            <w:r>
              <w:rPr>
                <w:rFonts w:hint="eastAsia" w:cs="宋体"/>
                <w:color w:val="auto"/>
                <w:spacing w:val="-2"/>
                <w:sz w:val="24"/>
                <w:szCs w:val="24"/>
                <w:lang w:val="en-US" w:eastAsia="zh-CN"/>
              </w:rPr>
              <w:t>10</w:t>
            </w:r>
            <w:r>
              <w:rPr>
                <w:rFonts w:hint="eastAsia" w:ascii="宋体" w:hAnsi="宋体" w:eastAsia="宋体" w:cs="宋体"/>
                <w:color w:val="auto"/>
                <w:spacing w:val="-2"/>
                <w:sz w:val="24"/>
                <w:szCs w:val="24"/>
              </w:rPr>
              <w:t>）活动举办过程中，做好现场秩序的维护和突发事故的处置工作，确保活动正常进行。</w:t>
            </w:r>
          </w:p>
        </w:tc>
      </w:tr>
    </w:tbl>
    <w:p w14:paraId="7D028533">
      <w:pPr>
        <w:keepNext w:val="0"/>
        <w:keepLines w:val="0"/>
        <w:pageBreakBefore w:val="0"/>
        <w:widowControl w:val="0"/>
        <w:numPr>
          <w:ilvl w:val="0"/>
          <w:numId w:val="2"/>
        </w:numPr>
        <w:kinsoku/>
        <w:wordWrap/>
        <w:overflowPunct/>
        <w:topLinePunct w:val="0"/>
        <w:autoSpaceDE/>
        <w:autoSpaceDN/>
        <w:bidi w:val="0"/>
        <w:adjustRightInd/>
        <w:snapToGrid/>
        <w:spacing w:before="721" w:beforeLines="200" w:line="240" w:lineRule="auto"/>
        <w:ind w:left="0" w:firstLine="482"/>
        <w:textAlignment w:val="auto"/>
        <w:rPr>
          <w:rFonts w:hint="eastAsia" w:ascii="宋体" w:hAnsi="宋体" w:eastAsia="宋体" w:cs="Times New Roman"/>
          <w:b/>
          <w:bCs/>
          <w:sz w:val="24"/>
          <w:szCs w:val="24"/>
          <w:lang w:val="en-US" w:eastAsia="zh-CN"/>
        </w:rPr>
      </w:pPr>
      <w:r>
        <w:rPr>
          <w:rFonts w:hint="eastAsia" w:ascii="宋体" w:hAnsi="宋体" w:eastAsia="宋体" w:cs="Times New Roman"/>
          <w:b/>
          <w:bCs/>
          <w:sz w:val="24"/>
          <w:szCs w:val="24"/>
          <w:lang w:val="en-US" w:eastAsia="zh-CN"/>
        </w:rPr>
        <w:t>会议服务</w:t>
      </w:r>
    </w:p>
    <w:tbl>
      <w:tblPr>
        <w:tblStyle w:val="12"/>
        <w:tblpPr w:leftFromText="180" w:rightFromText="180" w:vertAnchor="text" w:horzAnchor="page" w:tblpXSpec="center" w:tblpY="458"/>
        <w:tblW w:w="828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20"/>
        <w:gridCol w:w="7164"/>
      </w:tblGrid>
      <w:tr w14:paraId="512EBB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7" w:hRule="atLeast"/>
          <w:jc w:val="center"/>
        </w:trPr>
        <w:tc>
          <w:tcPr>
            <w:tcW w:w="1120" w:type="dxa"/>
            <w:noWrap w:val="0"/>
            <w:vAlign w:val="center"/>
          </w:tcPr>
          <w:p w14:paraId="44524872">
            <w:pPr>
              <w:spacing w:before="46" w:line="240" w:lineRule="auto"/>
              <w:jc w:val="center"/>
              <w:rPr>
                <w:rFonts w:hint="default" w:ascii="Calibri" w:hAnsi="Calibri" w:eastAsia="宋体" w:cs="Calibri"/>
                <w:b/>
                <w:bCs/>
                <w:color w:val="auto"/>
                <w:sz w:val="24"/>
                <w:szCs w:val="24"/>
                <w:lang w:val="en-US" w:eastAsia="zh-CN"/>
              </w:rPr>
            </w:pPr>
            <w:r>
              <w:rPr>
                <w:rFonts w:hint="eastAsia" w:ascii="Calibri" w:hAnsi="Calibri" w:eastAsia="宋体" w:cs="Calibri"/>
                <w:b/>
                <w:bCs/>
                <w:color w:val="auto"/>
                <w:sz w:val="24"/>
                <w:szCs w:val="24"/>
                <w:lang w:val="en-US" w:eastAsia="zh-CN"/>
              </w:rPr>
              <w:t>服务内容</w:t>
            </w:r>
          </w:p>
        </w:tc>
        <w:tc>
          <w:tcPr>
            <w:tcW w:w="7164" w:type="dxa"/>
            <w:noWrap w:val="0"/>
            <w:vAlign w:val="center"/>
          </w:tcPr>
          <w:p w14:paraId="69C7C208">
            <w:pPr>
              <w:pStyle w:val="11"/>
              <w:spacing w:line="240" w:lineRule="auto"/>
              <w:ind w:right="189" w:firstLine="236"/>
              <w:jc w:val="center"/>
              <w:rPr>
                <w:rFonts w:hint="default" w:cs="宋体"/>
                <w:b/>
                <w:bCs/>
                <w:color w:val="auto"/>
                <w:spacing w:val="-2"/>
                <w:sz w:val="24"/>
                <w:szCs w:val="24"/>
                <w:lang w:val="en-US" w:eastAsia="zh-CN"/>
              </w:rPr>
            </w:pPr>
            <w:r>
              <w:rPr>
                <w:rFonts w:hint="eastAsia" w:cs="宋体"/>
                <w:b/>
                <w:bCs/>
                <w:color w:val="auto"/>
                <w:spacing w:val="-2"/>
                <w:sz w:val="24"/>
                <w:szCs w:val="24"/>
                <w:lang w:val="en-US" w:eastAsia="zh-CN"/>
              </w:rPr>
              <w:t>服务标准</w:t>
            </w:r>
          </w:p>
        </w:tc>
      </w:tr>
      <w:tr w14:paraId="4B0AA1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6" w:hRule="atLeast"/>
          <w:jc w:val="center"/>
        </w:trPr>
        <w:tc>
          <w:tcPr>
            <w:tcW w:w="1120" w:type="dxa"/>
            <w:noWrap w:val="0"/>
            <w:vAlign w:val="center"/>
          </w:tcPr>
          <w:p w14:paraId="35612782">
            <w:pPr>
              <w:spacing w:before="46" w:line="240" w:lineRule="auto"/>
              <w:jc w:val="center"/>
              <w:rPr>
                <w:rFonts w:hint="default" w:ascii="Calibri" w:hAnsi="Calibri" w:eastAsia="宋体" w:cs="Calibri"/>
                <w:color w:val="auto"/>
                <w:sz w:val="24"/>
                <w:szCs w:val="24"/>
                <w:lang w:val="en-US" w:eastAsia="zh-CN"/>
              </w:rPr>
            </w:pPr>
            <w:r>
              <w:rPr>
                <w:rFonts w:hint="eastAsia" w:ascii="Calibri" w:hAnsi="Calibri" w:eastAsia="宋体" w:cs="Calibri"/>
                <w:color w:val="auto"/>
                <w:sz w:val="24"/>
                <w:szCs w:val="24"/>
                <w:lang w:val="en-US" w:eastAsia="zh-CN"/>
              </w:rPr>
              <w:t>会议服务</w:t>
            </w:r>
          </w:p>
        </w:tc>
        <w:tc>
          <w:tcPr>
            <w:tcW w:w="7164" w:type="dxa"/>
            <w:noWrap w:val="0"/>
            <w:vAlign w:val="center"/>
          </w:tcPr>
          <w:p w14:paraId="3A3F8C9E">
            <w:pPr>
              <w:pStyle w:val="11"/>
              <w:spacing w:line="240" w:lineRule="auto"/>
              <w:ind w:right="189"/>
              <w:jc w:val="left"/>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rPr>
              <w:t>（1）接受会议预订，记录会议需求。</w:t>
            </w:r>
          </w:p>
          <w:p w14:paraId="224A27F8">
            <w:pPr>
              <w:pStyle w:val="11"/>
              <w:spacing w:line="240" w:lineRule="auto"/>
              <w:ind w:right="189"/>
              <w:jc w:val="left"/>
              <w:rPr>
                <w:rFonts w:hint="eastAsia" w:ascii="宋体" w:hAnsi="宋体" w:eastAsia="宋体" w:cs="宋体"/>
                <w:color w:val="auto"/>
                <w:spacing w:val="-2"/>
                <w:sz w:val="24"/>
                <w:szCs w:val="24"/>
              </w:rPr>
            </w:pPr>
            <w:r>
              <w:rPr>
                <w:rFonts w:hint="eastAsia" w:cs="宋体"/>
                <w:color w:val="auto"/>
                <w:spacing w:val="-2"/>
                <w:sz w:val="24"/>
                <w:szCs w:val="24"/>
                <w:lang w:eastAsia="zh-CN"/>
              </w:rPr>
              <w:t>（</w:t>
            </w:r>
            <w:r>
              <w:rPr>
                <w:rFonts w:hint="eastAsia" w:cs="宋体"/>
                <w:color w:val="auto"/>
                <w:spacing w:val="-2"/>
                <w:sz w:val="24"/>
                <w:szCs w:val="24"/>
                <w:lang w:val="en-US" w:eastAsia="zh-CN"/>
              </w:rPr>
              <w:t>2</w:t>
            </w:r>
            <w:r>
              <w:rPr>
                <w:rFonts w:hint="eastAsia" w:cs="宋体"/>
                <w:color w:val="auto"/>
                <w:spacing w:val="-2"/>
                <w:sz w:val="24"/>
                <w:szCs w:val="24"/>
                <w:lang w:eastAsia="zh-CN"/>
              </w:rPr>
              <w:t>）</w:t>
            </w:r>
            <w:r>
              <w:rPr>
                <w:rFonts w:hint="eastAsia" w:ascii="宋体" w:hAnsi="宋体" w:eastAsia="宋体" w:cs="宋体"/>
                <w:color w:val="auto"/>
                <w:spacing w:val="-2"/>
                <w:sz w:val="24"/>
                <w:szCs w:val="24"/>
              </w:rPr>
              <w:t>根据会议需求、场地大小、用途，明确会议桌椅、物品、设备、文具等摆放规定，音、视频设施保障措施。提前对会场的空调、照明、电器设备以及门、窗进行全面检查。提前调试室内温度。</w:t>
            </w:r>
          </w:p>
          <w:p w14:paraId="3E8906BD">
            <w:pPr>
              <w:pStyle w:val="11"/>
              <w:spacing w:line="240" w:lineRule="auto"/>
              <w:ind w:right="189"/>
              <w:jc w:val="left"/>
              <w:rPr>
                <w:rFonts w:hint="eastAsia" w:ascii="宋体" w:hAnsi="宋体" w:eastAsia="宋体" w:cs="宋体"/>
                <w:color w:val="auto"/>
                <w:spacing w:val="-2"/>
                <w:sz w:val="24"/>
                <w:szCs w:val="24"/>
              </w:rPr>
            </w:pPr>
            <w:r>
              <w:rPr>
                <w:rFonts w:hint="eastAsia" w:cs="宋体"/>
                <w:color w:val="auto"/>
                <w:spacing w:val="-2"/>
                <w:sz w:val="24"/>
                <w:szCs w:val="24"/>
                <w:lang w:eastAsia="zh-CN"/>
              </w:rPr>
              <w:t>（</w:t>
            </w:r>
            <w:r>
              <w:rPr>
                <w:rFonts w:hint="eastAsia" w:cs="宋体"/>
                <w:color w:val="auto"/>
                <w:spacing w:val="-2"/>
                <w:sz w:val="24"/>
                <w:szCs w:val="24"/>
                <w:lang w:val="en-US" w:eastAsia="zh-CN"/>
              </w:rPr>
              <w:t>3</w:t>
            </w:r>
            <w:r>
              <w:rPr>
                <w:rFonts w:hint="eastAsia" w:cs="宋体"/>
                <w:color w:val="auto"/>
                <w:spacing w:val="-2"/>
                <w:sz w:val="24"/>
                <w:szCs w:val="24"/>
                <w:lang w:eastAsia="zh-CN"/>
              </w:rPr>
              <w:t>）</w:t>
            </w:r>
            <w:r>
              <w:rPr>
                <w:rFonts w:hint="eastAsia" w:ascii="宋体" w:hAnsi="宋体" w:eastAsia="宋体" w:cs="宋体"/>
                <w:color w:val="auto"/>
                <w:spacing w:val="-2"/>
                <w:sz w:val="24"/>
                <w:szCs w:val="24"/>
              </w:rPr>
              <w:t>做好引导牌并放置在指定位置，引导人员引导手势规范，语言标准。</w:t>
            </w:r>
          </w:p>
          <w:p w14:paraId="6B4B99DD">
            <w:pPr>
              <w:pStyle w:val="11"/>
              <w:spacing w:line="240" w:lineRule="auto"/>
              <w:ind w:right="189"/>
              <w:jc w:val="left"/>
              <w:rPr>
                <w:rFonts w:hint="eastAsia" w:ascii="宋体" w:hAnsi="宋体" w:eastAsia="宋体" w:cs="宋体"/>
                <w:color w:val="auto"/>
                <w:spacing w:val="-2"/>
                <w:sz w:val="24"/>
                <w:szCs w:val="24"/>
              </w:rPr>
            </w:pPr>
            <w:r>
              <w:rPr>
                <w:rFonts w:hint="eastAsia" w:cs="宋体"/>
                <w:color w:val="auto"/>
                <w:spacing w:val="-2"/>
                <w:sz w:val="24"/>
                <w:szCs w:val="24"/>
                <w:lang w:eastAsia="zh-CN"/>
              </w:rPr>
              <w:t>（</w:t>
            </w:r>
            <w:r>
              <w:rPr>
                <w:rFonts w:hint="eastAsia" w:cs="宋体"/>
                <w:color w:val="auto"/>
                <w:spacing w:val="-2"/>
                <w:sz w:val="24"/>
                <w:szCs w:val="24"/>
                <w:lang w:val="en-US" w:eastAsia="zh-CN"/>
              </w:rPr>
              <w:t>4</w:t>
            </w:r>
            <w:r>
              <w:rPr>
                <w:rFonts w:hint="eastAsia" w:cs="宋体"/>
                <w:color w:val="auto"/>
                <w:spacing w:val="-2"/>
                <w:sz w:val="24"/>
                <w:szCs w:val="24"/>
                <w:lang w:eastAsia="zh-CN"/>
              </w:rPr>
              <w:t>）</w:t>
            </w:r>
            <w:r>
              <w:rPr>
                <w:rFonts w:hint="eastAsia" w:ascii="宋体" w:hAnsi="宋体" w:eastAsia="宋体" w:cs="宋体"/>
                <w:color w:val="auto"/>
                <w:spacing w:val="-2"/>
                <w:sz w:val="24"/>
                <w:szCs w:val="24"/>
              </w:rPr>
              <w:t>会议期间按要求加水。</w:t>
            </w:r>
          </w:p>
          <w:p w14:paraId="203CE940">
            <w:pPr>
              <w:pStyle w:val="11"/>
              <w:spacing w:line="240" w:lineRule="auto"/>
              <w:ind w:right="189"/>
              <w:jc w:val="left"/>
              <w:rPr>
                <w:rFonts w:hint="eastAsia" w:ascii="宋体" w:hAnsi="宋体" w:eastAsia="宋体" w:cs="宋体"/>
                <w:color w:val="auto"/>
                <w:spacing w:val="-2"/>
                <w:sz w:val="24"/>
                <w:szCs w:val="24"/>
              </w:rPr>
            </w:pPr>
            <w:r>
              <w:rPr>
                <w:rFonts w:hint="eastAsia" w:cs="宋体"/>
                <w:color w:val="auto"/>
                <w:spacing w:val="-2"/>
                <w:sz w:val="24"/>
                <w:szCs w:val="24"/>
                <w:lang w:eastAsia="zh-CN"/>
              </w:rPr>
              <w:t>（</w:t>
            </w:r>
            <w:r>
              <w:rPr>
                <w:rFonts w:hint="eastAsia" w:cs="宋体"/>
                <w:color w:val="auto"/>
                <w:spacing w:val="-2"/>
                <w:sz w:val="24"/>
                <w:szCs w:val="24"/>
                <w:lang w:val="en-US" w:eastAsia="zh-CN"/>
              </w:rPr>
              <w:t>5</w:t>
            </w:r>
            <w:r>
              <w:rPr>
                <w:rFonts w:hint="eastAsia" w:cs="宋体"/>
                <w:color w:val="auto"/>
                <w:spacing w:val="-2"/>
                <w:sz w:val="24"/>
                <w:szCs w:val="24"/>
                <w:lang w:eastAsia="zh-CN"/>
              </w:rPr>
              <w:t>）会议室、接待室整洁，无灰尘、无污渍，为参会人员提供舒适的环境。保证会议室内各种设施设备正常使用，发现问题及时解决，不得影响会议室的正常使用。</w:t>
            </w:r>
          </w:p>
        </w:tc>
      </w:tr>
    </w:tbl>
    <w:p w14:paraId="367888DA">
      <w:pPr>
        <w:pStyle w:val="7"/>
        <w:ind w:left="0" w:firstLine="0"/>
        <w:jc w:val="both"/>
        <w:rPr>
          <w:rFonts w:hint="eastAsia"/>
          <w:lang w:val="en-US" w:eastAsia="zh-CN"/>
        </w:rPr>
      </w:pPr>
    </w:p>
    <w:p w14:paraId="7E4034F7">
      <w:pPr>
        <w:keepNext w:val="0"/>
        <w:keepLines w:val="0"/>
        <w:pageBreakBefore w:val="0"/>
        <w:widowControl w:val="0"/>
        <w:numPr>
          <w:ilvl w:val="0"/>
          <w:numId w:val="1"/>
        </w:numPr>
        <w:kinsoku/>
        <w:wordWrap/>
        <w:overflowPunct/>
        <w:topLinePunct w:val="0"/>
        <w:autoSpaceDE/>
        <w:autoSpaceDN/>
        <w:bidi w:val="0"/>
        <w:adjustRightInd/>
        <w:snapToGrid/>
        <w:spacing w:before="1801" w:beforeLines="500" w:line="360" w:lineRule="auto"/>
        <w:ind w:left="0" w:firstLine="482"/>
        <w:textAlignment w:val="auto"/>
        <w:rPr>
          <w:rFonts w:hint="eastAsia" w:ascii="宋体" w:hAnsi="宋体" w:eastAsia="宋体" w:cs="Times New Roman"/>
          <w:b/>
          <w:bCs/>
          <w:sz w:val="24"/>
          <w:szCs w:val="24"/>
        </w:rPr>
      </w:pPr>
      <w:r>
        <w:rPr>
          <w:rFonts w:hint="eastAsia" w:ascii="宋体" w:hAnsi="宋体" w:eastAsia="宋体" w:cs="Times New Roman"/>
          <w:b/>
          <w:bCs/>
          <w:sz w:val="24"/>
          <w:szCs w:val="24"/>
        </w:rPr>
        <w:t>服务人员需求</w:t>
      </w:r>
    </w:p>
    <w:tbl>
      <w:tblPr>
        <w:tblStyle w:val="12"/>
        <w:tblW w:w="9044"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57"/>
        <w:gridCol w:w="1988"/>
        <w:gridCol w:w="767"/>
        <w:gridCol w:w="1323"/>
        <w:gridCol w:w="4309"/>
      </w:tblGrid>
      <w:tr w14:paraId="5CC0FC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trPr>
        <w:tc>
          <w:tcPr>
            <w:tcW w:w="657" w:type="dxa"/>
            <w:noWrap w:val="0"/>
            <w:vAlign w:val="top"/>
          </w:tcPr>
          <w:p w14:paraId="19A0FB0A">
            <w:pPr>
              <w:pStyle w:val="11"/>
              <w:spacing w:before="97" w:line="221" w:lineRule="auto"/>
              <w:jc w:val="center"/>
              <w:rPr>
                <w:rFonts w:hint="eastAsia" w:ascii="宋体" w:hAnsi="宋体" w:eastAsia="宋体" w:cs="宋体"/>
                <w:color w:val="auto"/>
                <w:sz w:val="24"/>
                <w:szCs w:val="24"/>
              </w:rPr>
            </w:pPr>
            <w:r>
              <w:rPr>
                <w:rFonts w:hint="eastAsia" w:ascii="宋体" w:hAnsi="宋体" w:eastAsia="宋体" w:cs="宋体"/>
                <w:color w:val="auto"/>
                <w:spacing w:val="-2"/>
                <w:sz w:val="24"/>
                <w:szCs w:val="24"/>
              </w:rPr>
              <w:t>部门职能</w:t>
            </w:r>
          </w:p>
        </w:tc>
        <w:tc>
          <w:tcPr>
            <w:tcW w:w="1988" w:type="dxa"/>
            <w:noWrap w:val="0"/>
            <w:vAlign w:val="center"/>
          </w:tcPr>
          <w:p w14:paraId="20AB713F">
            <w:pPr>
              <w:pStyle w:val="11"/>
              <w:spacing w:before="97" w:line="221" w:lineRule="auto"/>
              <w:ind w:left="622"/>
              <w:jc w:val="both"/>
              <w:rPr>
                <w:rFonts w:hint="eastAsia" w:ascii="宋体" w:hAnsi="宋体" w:eastAsia="宋体" w:cs="宋体"/>
                <w:color w:val="auto"/>
                <w:sz w:val="24"/>
                <w:szCs w:val="24"/>
              </w:rPr>
            </w:pPr>
            <w:r>
              <w:rPr>
                <w:rFonts w:hint="eastAsia" w:ascii="宋体" w:hAnsi="宋体" w:eastAsia="宋体" w:cs="宋体"/>
                <w:color w:val="auto"/>
                <w:spacing w:val="-11"/>
                <w:sz w:val="24"/>
                <w:szCs w:val="24"/>
              </w:rPr>
              <w:t>岗位</w:t>
            </w:r>
          </w:p>
        </w:tc>
        <w:tc>
          <w:tcPr>
            <w:tcW w:w="767" w:type="dxa"/>
            <w:noWrap w:val="0"/>
            <w:vAlign w:val="center"/>
          </w:tcPr>
          <w:p w14:paraId="4D2F1C72">
            <w:pPr>
              <w:pStyle w:val="11"/>
              <w:spacing w:before="97" w:line="221" w:lineRule="auto"/>
              <w:jc w:val="center"/>
              <w:rPr>
                <w:rFonts w:hint="eastAsia" w:ascii="宋体" w:hAnsi="宋体" w:eastAsia="宋体" w:cs="宋体"/>
                <w:color w:val="auto"/>
                <w:sz w:val="24"/>
                <w:szCs w:val="24"/>
              </w:rPr>
            </w:pPr>
            <w:r>
              <w:rPr>
                <w:rFonts w:hint="eastAsia" w:ascii="宋体" w:hAnsi="宋体" w:eastAsia="宋体" w:cs="宋体"/>
                <w:color w:val="auto"/>
                <w:spacing w:val="-4"/>
                <w:sz w:val="24"/>
                <w:szCs w:val="24"/>
              </w:rPr>
              <w:t>人数</w:t>
            </w:r>
          </w:p>
        </w:tc>
        <w:tc>
          <w:tcPr>
            <w:tcW w:w="1323" w:type="dxa"/>
            <w:noWrap w:val="0"/>
            <w:vAlign w:val="center"/>
          </w:tcPr>
          <w:p w14:paraId="7C0A172A">
            <w:pPr>
              <w:pStyle w:val="11"/>
              <w:spacing w:before="97" w:line="221" w:lineRule="auto"/>
              <w:jc w:val="center"/>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最高限价</w:t>
            </w:r>
          </w:p>
          <w:p w14:paraId="3F152838">
            <w:pPr>
              <w:pStyle w:val="11"/>
              <w:spacing w:before="97" w:line="221" w:lineRule="auto"/>
              <w:jc w:val="center"/>
              <w:rPr>
                <w:rFonts w:hint="eastAsia" w:ascii="宋体" w:hAnsi="宋体" w:eastAsia="宋体" w:cs="宋体"/>
                <w:color w:val="auto"/>
                <w:sz w:val="24"/>
                <w:szCs w:val="24"/>
              </w:rPr>
            </w:pPr>
            <w:r>
              <w:rPr>
                <w:rFonts w:hint="eastAsia" w:ascii="宋体" w:hAnsi="宋体" w:eastAsia="宋体" w:cs="宋体"/>
                <w:color w:val="auto"/>
                <w:spacing w:val="-4"/>
                <w:sz w:val="24"/>
                <w:szCs w:val="24"/>
              </w:rPr>
              <w:t>（元/人·月）</w:t>
            </w:r>
          </w:p>
        </w:tc>
        <w:tc>
          <w:tcPr>
            <w:tcW w:w="4309" w:type="dxa"/>
            <w:noWrap w:val="0"/>
            <w:vAlign w:val="center"/>
          </w:tcPr>
          <w:p w14:paraId="6EAC1C53">
            <w:pPr>
              <w:pStyle w:val="11"/>
              <w:spacing w:before="11" w:line="223" w:lineRule="auto"/>
              <w:ind w:right="76"/>
              <w:jc w:val="center"/>
              <w:rPr>
                <w:rFonts w:hint="eastAsia" w:ascii="宋体" w:hAnsi="宋体" w:eastAsia="宋体" w:cs="宋体"/>
                <w:color w:val="auto"/>
                <w:sz w:val="24"/>
                <w:szCs w:val="24"/>
              </w:rPr>
            </w:pPr>
            <w:r>
              <w:rPr>
                <w:rFonts w:hint="eastAsia" w:ascii="宋体" w:hAnsi="宋体" w:eastAsia="宋体" w:cs="宋体"/>
                <w:color w:val="auto"/>
                <w:spacing w:val="-1"/>
                <w:sz w:val="24"/>
                <w:szCs w:val="24"/>
              </w:rPr>
              <w:t>备注（岗位所需服务时长或时段、需具备的上岗资格证、人员学历、工作经验等要求）</w:t>
            </w:r>
          </w:p>
        </w:tc>
      </w:tr>
      <w:tr w14:paraId="6749D4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rPr>
        <w:tc>
          <w:tcPr>
            <w:tcW w:w="657" w:type="dxa"/>
            <w:noWrap w:val="0"/>
            <w:vAlign w:val="top"/>
          </w:tcPr>
          <w:p w14:paraId="56EE65B8">
            <w:pPr>
              <w:pStyle w:val="11"/>
              <w:spacing w:before="59" w:line="221" w:lineRule="auto"/>
              <w:ind w:left="84"/>
              <w:jc w:val="center"/>
              <w:rPr>
                <w:rFonts w:hint="eastAsia" w:ascii="宋体" w:hAnsi="宋体" w:eastAsia="宋体" w:cs="宋体"/>
                <w:color w:val="auto"/>
                <w:sz w:val="24"/>
                <w:szCs w:val="24"/>
              </w:rPr>
            </w:pPr>
            <w:r>
              <w:rPr>
                <w:rFonts w:hint="eastAsia" w:ascii="宋体" w:hAnsi="宋体" w:eastAsia="宋体" w:cs="宋体"/>
                <w:color w:val="auto"/>
                <w:spacing w:val="-2"/>
                <w:sz w:val="24"/>
                <w:szCs w:val="24"/>
              </w:rPr>
              <w:t>服务中心</w:t>
            </w:r>
          </w:p>
        </w:tc>
        <w:tc>
          <w:tcPr>
            <w:tcW w:w="1988" w:type="dxa"/>
            <w:noWrap w:val="0"/>
            <w:vAlign w:val="top"/>
          </w:tcPr>
          <w:p w14:paraId="771D9840">
            <w:pPr>
              <w:pStyle w:val="11"/>
              <w:spacing w:before="59" w:line="221" w:lineRule="auto"/>
              <w:ind w:left="84"/>
              <w:rPr>
                <w:rFonts w:hint="eastAsia" w:ascii="宋体" w:hAnsi="宋体" w:eastAsia="宋体" w:cs="宋体"/>
                <w:color w:val="auto"/>
                <w:sz w:val="24"/>
                <w:szCs w:val="24"/>
              </w:rPr>
            </w:pPr>
            <w:r>
              <w:rPr>
                <w:rFonts w:hint="eastAsia" w:ascii="宋体" w:hAnsi="宋体" w:eastAsia="宋体" w:cs="宋体"/>
                <w:color w:val="auto"/>
                <w:spacing w:val="-3"/>
                <w:sz w:val="24"/>
                <w:szCs w:val="24"/>
              </w:rPr>
              <w:t>项目经理</w:t>
            </w:r>
          </w:p>
        </w:tc>
        <w:tc>
          <w:tcPr>
            <w:tcW w:w="767" w:type="dxa"/>
            <w:noWrap w:val="0"/>
            <w:vAlign w:val="top"/>
          </w:tcPr>
          <w:p w14:paraId="1D0882E0">
            <w:pPr>
              <w:spacing w:before="92" w:line="180" w:lineRule="auto"/>
              <w:ind w:left="759"/>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323" w:type="dxa"/>
            <w:noWrap w:val="0"/>
            <w:vAlign w:val="top"/>
          </w:tcPr>
          <w:p w14:paraId="58F8BE33">
            <w:pPr>
              <w:spacing w:before="92" w:line="180" w:lineRule="auto"/>
              <w:ind w:left="1057"/>
              <w:rPr>
                <w:rFonts w:hint="eastAsia" w:ascii="宋体" w:hAnsi="宋体" w:eastAsia="宋体" w:cs="宋体"/>
                <w:color w:val="auto"/>
                <w:sz w:val="24"/>
                <w:szCs w:val="24"/>
              </w:rPr>
            </w:pPr>
          </w:p>
        </w:tc>
        <w:tc>
          <w:tcPr>
            <w:tcW w:w="4309" w:type="dxa"/>
            <w:noWrap w:val="0"/>
            <w:vAlign w:val="top"/>
          </w:tcPr>
          <w:p w14:paraId="19F5CCAD">
            <w:pPr>
              <w:pStyle w:val="11"/>
              <w:spacing w:before="59" w:line="221" w:lineRule="auto"/>
              <w:ind w:left="82"/>
              <w:rPr>
                <w:rFonts w:hint="eastAsia" w:ascii="宋体" w:hAnsi="宋体" w:eastAsia="宋体" w:cs="宋体"/>
                <w:color w:val="auto"/>
                <w:sz w:val="24"/>
                <w:szCs w:val="24"/>
              </w:rPr>
            </w:pPr>
            <w:r>
              <w:rPr>
                <w:rFonts w:hint="eastAsia" w:ascii="宋体" w:hAnsi="宋体" w:eastAsia="宋体" w:cs="宋体"/>
                <w:color w:val="auto"/>
                <w:spacing w:val="-1"/>
                <w:sz w:val="24"/>
                <w:szCs w:val="24"/>
              </w:rPr>
              <w:t>如：8小时，合同期内在岗率。</w:t>
            </w:r>
          </w:p>
        </w:tc>
      </w:tr>
      <w:tr w14:paraId="0BC8DE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rPr>
        <w:tc>
          <w:tcPr>
            <w:tcW w:w="657" w:type="dxa"/>
            <w:vMerge w:val="restart"/>
            <w:tcBorders>
              <w:bottom w:val="nil"/>
            </w:tcBorders>
            <w:noWrap w:val="0"/>
            <w:vAlign w:val="top"/>
          </w:tcPr>
          <w:p w14:paraId="302EC395">
            <w:pPr>
              <w:spacing w:line="268" w:lineRule="auto"/>
              <w:jc w:val="center"/>
              <w:rPr>
                <w:rFonts w:hint="eastAsia" w:ascii="宋体" w:hAnsi="宋体" w:eastAsia="宋体" w:cs="宋体"/>
                <w:color w:val="auto"/>
                <w:sz w:val="24"/>
                <w:szCs w:val="24"/>
              </w:rPr>
            </w:pPr>
          </w:p>
          <w:p w14:paraId="077FFC6D">
            <w:pPr>
              <w:spacing w:line="268" w:lineRule="auto"/>
              <w:jc w:val="center"/>
              <w:rPr>
                <w:rFonts w:hint="eastAsia" w:ascii="宋体" w:hAnsi="宋体" w:eastAsia="宋体" w:cs="宋体"/>
                <w:color w:val="auto"/>
                <w:sz w:val="24"/>
                <w:szCs w:val="24"/>
              </w:rPr>
            </w:pPr>
          </w:p>
          <w:p w14:paraId="672D2267">
            <w:pPr>
              <w:pStyle w:val="11"/>
              <w:spacing w:before="49" w:line="220" w:lineRule="auto"/>
              <w:ind w:left="84"/>
              <w:jc w:val="center"/>
              <w:rPr>
                <w:rFonts w:hint="eastAsia" w:ascii="宋体" w:hAnsi="宋体" w:eastAsia="宋体" w:cs="宋体"/>
                <w:color w:val="auto"/>
                <w:sz w:val="24"/>
                <w:szCs w:val="24"/>
              </w:rPr>
            </w:pPr>
            <w:r>
              <w:rPr>
                <w:rFonts w:hint="eastAsia" w:ascii="宋体" w:hAnsi="宋体" w:eastAsia="宋体" w:cs="宋体"/>
                <w:color w:val="auto"/>
                <w:spacing w:val="-2"/>
                <w:sz w:val="24"/>
                <w:szCs w:val="24"/>
              </w:rPr>
              <w:t>基本服务</w:t>
            </w:r>
          </w:p>
        </w:tc>
        <w:tc>
          <w:tcPr>
            <w:tcW w:w="1988" w:type="dxa"/>
            <w:noWrap w:val="0"/>
            <w:vAlign w:val="top"/>
          </w:tcPr>
          <w:p w14:paraId="1C1AC7AF">
            <w:pPr>
              <w:pStyle w:val="11"/>
              <w:spacing w:before="70" w:line="221" w:lineRule="auto"/>
              <w:ind w:left="82"/>
              <w:rPr>
                <w:rFonts w:hint="eastAsia" w:ascii="宋体" w:hAnsi="宋体" w:eastAsia="宋体" w:cs="宋体"/>
                <w:color w:val="auto"/>
                <w:sz w:val="24"/>
                <w:szCs w:val="24"/>
              </w:rPr>
            </w:pPr>
            <w:r>
              <w:rPr>
                <w:rFonts w:hint="eastAsia" w:ascii="宋体" w:hAnsi="宋体" w:eastAsia="宋体" w:cs="宋体"/>
                <w:color w:val="auto"/>
                <w:spacing w:val="-4"/>
                <w:sz w:val="24"/>
                <w:szCs w:val="24"/>
              </w:rPr>
              <w:t>主管</w:t>
            </w:r>
          </w:p>
        </w:tc>
        <w:tc>
          <w:tcPr>
            <w:tcW w:w="767" w:type="dxa"/>
            <w:noWrap w:val="0"/>
            <w:vAlign w:val="top"/>
          </w:tcPr>
          <w:p w14:paraId="1B12BD52">
            <w:pPr>
              <w:rPr>
                <w:rFonts w:hint="eastAsia" w:ascii="宋体" w:hAnsi="宋体" w:eastAsia="宋体" w:cs="宋体"/>
                <w:color w:val="auto"/>
                <w:sz w:val="24"/>
                <w:szCs w:val="24"/>
              </w:rPr>
            </w:pPr>
          </w:p>
        </w:tc>
        <w:tc>
          <w:tcPr>
            <w:tcW w:w="1323" w:type="dxa"/>
            <w:noWrap w:val="0"/>
            <w:vAlign w:val="top"/>
          </w:tcPr>
          <w:p w14:paraId="5B60A4C1">
            <w:pPr>
              <w:rPr>
                <w:rFonts w:hint="eastAsia" w:ascii="宋体" w:hAnsi="宋体" w:eastAsia="宋体" w:cs="宋体"/>
                <w:color w:val="auto"/>
                <w:sz w:val="24"/>
                <w:szCs w:val="24"/>
              </w:rPr>
            </w:pPr>
          </w:p>
        </w:tc>
        <w:tc>
          <w:tcPr>
            <w:tcW w:w="4309" w:type="dxa"/>
            <w:noWrap w:val="0"/>
            <w:vAlign w:val="top"/>
          </w:tcPr>
          <w:p w14:paraId="59C43EC6">
            <w:pPr>
              <w:rPr>
                <w:rFonts w:hint="eastAsia" w:ascii="宋体" w:hAnsi="宋体" w:eastAsia="宋体" w:cs="宋体"/>
                <w:color w:val="auto"/>
                <w:sz w:val="24"/>
                <w:szCs w:val="24"/>
              </w:rPr>
            </w:pPr>
          </w:p>
        </w:tc>
      </w:tr>
      <w:tr w14:paraId="560E39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rPr>
        <w:tc>
          <w:tcPr>
            <w:tcW w:w="657" w:type="dxa"/>
            <w:vMerge w:val="continue"/>
            <w:tcBorders>
              <w:top w:val="nil"/>
              <w:bottom w:val="nil"/>
            </w:tcBorders>
            <w:noWrap w:val="0"/>
            <w:vAlign w:val="top"/>
          </w:tcPr>
          <w:p w14:paraId="6FA3BD8C">
            <w:pPr>
              <w:jc w:val="center"/>
              <w:rPr>
                <w:rFonts w:hint="eastAsia" w:ascii="宋体" w:hAnsi="宋体" w:eastAsia="宋体" w:cs="宋体"/>
                <w:color w:val="auto"/>
                <w:sz w:val="24"/>
                <w:szCs w:val="24"/>
              </w:rPr>
            </w:pPr>
          </w:p>
        </w:tc>
        <w:tc>
          <w:tcPr>
            <w:tcW w:w="1988" w:type="dxa"/>
            <w:noWrap w:val="0"/>
            <w:vAlign w:val="top"/>
          </w:tcPr>
          <w:p w14:paraId="7A70371C">
            <w:pPr>
              <w:pStyle w:val="11"/>
              <w:spacing w:before="71" w:line="220" w:lineRule="auto"/>
              <w:ind w:left="84"/>
              <w:rPr>
                <w:rFonts w:hint="eastAsia" w:ascii="宋体" w:hAnsi="宋体" w:eastAsia="宋体" w:cs="宋体"/>
                <w:color w:val="auto"/>
                <w:sz w:val="24"/>
                <w:szCs w:val="24"/>
              </w:rPr>
            </w:pPr>
            <w:r>
              <w:rPr>
                <w:rFonts w:hint="eastAsia" w:ascii="宋体" w:hAnsi="宋体" w:eastAsia="宋体" w:cs="宋体"/>
                <w:color w:val="auto"/>
                <w:spacing w:val="-2"/>
                <w:sz w:val="24"/>
                <w:szCs w:val="24"/>
              </w:rPr>
              <w:t>前台（或传达室）</w:t>
            </w:r>
          </w:p>
        </w:tc>
        <w:tc>
          <w:tcPr>
            <w:tcW w:w="767" w:type="dxa"/>
            <w:noWrap w:val="0"/>
            <w:vAlign w:val="top"/>
          </w:tcPr>
          <w:p w14:paraId="31A3D4BC">
            <w:pPr>
              <w:rPr>
                <w:rFonts w:hint="eastAsia" w:ascii="宋体" w:hAnsi="宋体" w:eastAsia="宋体" w:cs="宋体"/>
                <w:color w:val="auto"/>
                <w:sz w:val="24"/>
                <w:szCs w:val="24"/>
              </w:rPr>
            </w:pPr>
          </w:p>
        </w:tc>
        <w:tc>
          <w:tcPr>
            <w:tcW w:w="1323" w:type="dxa"/>
            <w:noWrap w:val="0"/>
            <w:vAlign w:val="top"/>
          </w:tcPr>
          <w:p w14:paraId="373117C8">
            <w:pPr>
              <w:rPr>
                <w:rFonts w:hint="eastAsia" w:ascii="宋体" w:hAnsi="宋体" w:eastAsia="宋体" w:cs="宋体"/>
                <w:color w:val="auto"/>
                <w:sz w:val="24"/>
                <w:szCs w:val="24"/>
              </w:rPr>
            </w:pPr>
          </w:p>
        </w:tc>
        <w:tc>
          <w:tcPr>
            <w:tcW w:w="4309" w:type="dxa"/>
            <w:noWrap w:val="0"/>
            <w:vAlign w:val="top"/>
          </w:tcPr>
          <w:p w14:paraId="1795794F">
            <w:pPr>
              <w:rPr>
                <w:rFonts w:hint="eastAsia" w:ascii="宋体" w:hAnsi="宋体" w:eastAsia="宋体" w:cs="宋体"/>
                <w:color w:val="auto"/>
                <w:sz w:val="24"/>
                <w:szCs w:val="24"/>
              </w:rPr>
            </w:pPr>
          </w:p>
        </w:tc>
      </w:tr>
      <w:tr w14:paraId="577452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 w:hRule="atLeast"/>
        </w:trPr>
        <w:tc>
          <w:tcPr>
            <w:tcW w:w="657" w:type="dxa"/>
            <w:vMerge w:val="continue"/>
            <w:tcBorders>
              <w:top w:val="nil"/>
              <w:bottom w:val="nil"/>
            </w:tcBorders>
            <w:noWrap w:val="0"/>
            <w:vAlign w:val="top"/>
          </w:tcPr>
          <w:p w14:paraId="42619420">
            <w:pPr>
              <w:jc w:val="center"/>
              <w:rPr>
                <w:rFonts w:hint="eastAsia" w:ascii="宋体" w:hAnsi="宋体" w:eastAsia="宋体" w:cs="宋体"/>
                <w:color w:val="auto"/>
                <w:sz w:val="24"/>
                <w:szCs w:val="24"/>
              </w:rPr>
            </w:pPr>
          </w:p>
        </w:tc>
        <w:tc>
          <w:tcPr>
            <w:tcW w:w="1988" w:type="dxa"/>
            <w:noWrap w:val="0"/>
            <w:vAlign w:val="top"/>
          </w:tcPr>
          <w:p w14:paraId="3AE1587A">
            <w:pPr>
              <w:pStyle w:val="11"/>
              <w:spacing w:before="71" w:line="220" w:lineRule="auto"/>
              <w:ind w:left="99"/>
              <w:rPr>
                <w:rFonts w:hint="eastAsia" w:ascii="宋体" w:hAnsi="宋体" w:eastAsia="宋体" w:cs="宋体"/>
                <w:color w:val="auto"/>
                <w:sz w:val="24"/>
                <w:szCs w:val="24"/>
              </w:rPr>
            </w:pPr>
            <w:r>
              <w:rPr>
                <w:rFonts w:hint="eastAsia" w:ascii="宋体" w:hAnsi="宋体" w:eastAsia="宋体" w:cs="宋体"/>
                <w:color w:val="auto"/>
                <w:spacing w:val="-12"/>
                <w:sz w:val="24"/>
                <w:szCs w:val="24"/>
              </w:rPr>
              <w:t>内勤</w:t>
            </w:r>
          </w:p>
        </w:tc>
        <w:tc>
          <w:tcPr>
            <w:tcW w:w="767" w:type="dxa"/>
            <w:noWrap w:val="0"/>
            <w:vAlign w:val="top"/>
          </w:tcPr>
          <w:p w14:paraId="4E08AE5F">
            <w:pPr>
              <w:rPr>
                <w:rFonts w:hint="eastAsia" w:ascii="宋体" w:hAnsi="宋体" w:eastAsia="宋体" w:cs="宋体"/>
                <w:color w:val="auto"/>
                <w:sz w:val="24"/>
                <w:szCs w:val="24"/>
              </w:rPr>
            </w:pPr>
          </w:p>
        </w:tc>
        <w:tc>
          <w:tcPr>
            <w:tcW w:w="1323" w:type="dxa"/>
            <w:noWrap w:val="0"/>
            <w:vAlign w:val="top"/>
          </w:tcPr>
          <w:p w14:paraId="7DA7F4AC">
            <w:pPr>
              <w:rPr>
                <w:rFonts w:hint="eastAsia" w:ascii="宋体" w:hAnsi="宋体" w:eastAsia="宋体" w:cs="宋体"/>
                <w:color w:val="auto"/>
                <w:sz w:val="24"/>
                <w:szCs w:val="24"/>
              </w:rPr>
            </w:pPr>
          </w:p>
        </w:tc>
        <w:tc>
          <w:tcPr>
            <w:tcW w:w="4309" w:type="dxa"/>
            <w:noWrap w:val="0"/>
            <w:vAlign w:val="top"/>
          </w:tcPr>
          <w:p w14:paraId="5068F208">
            <w:pPr>
              <w:rPr>
                <w:rFonts w:hint="eastAsia" w:ascii="宋体" w:hAnsi="宋体" w:eastAsia="宋体" w:cs="宋体"/>
                <w:color w:val="auto"/>
                <w:sz w:val="24"/>
                <w:szCs w:val="24"/>
              </w:rPr>
            </w:pPr>
          </w:p>
        </w:tc>
      </w:tr>
      <w:tr w14:paraId="1F5BCE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657" w:type="dxa"/>
            <w:vMerge w:val="continue"/>
            <w:tcBorders>
              <w:top w:val="nil"/>
            </w:tcBorders>
            <w:noWrap w:val="0"/>
            <w:vAlign w:val="top"/>
          </w:tcPr>
          <w:p w14:paraId="18C81070">
            <w:pPr>
              <w:jc w:val="center"/>
              <w:rPr>
                <w:rFonts w:hint="eastAsia" w:ascii="宋体" w:hAnsi="宋体" w:eastAsia="宋体" w:cs="宋体"/>
                <w:color w:val="auto"/>
                <w:sz w:val="24"/>
                <w:szCs w:val="24"/>
              </w:rPr>
            </w:pPr>
          </w:p>
        </w:tc>
        <w:tc>
          <w:tcPr>
            <w:tcW w:w="1988" w:type="dxa"/>
            <w:noWrap w:val="0"/>
            <w:vAlign w:val="top"/>
          </w:tcPr>
          <w:p w14:paraId="28200118">
            <w:pPr>
              <w:pStyle w:val="11"/>
              <w:spacing w:before="7" w:line="222" w:lineRule="auto"/>
              <w:ind w:left="82" w:right="83"/>
              <w:rPr>
                <w:rFonts w:hint="eastAsia" w:ascii="宋体" w:hAnsi="宋体" w:eastAsia="宋体" w:cs="宋体"/>
                <w:color w:val="auto"/>
                <w:sz w:val="24"/>
                <w:szCs w:val="24"/>
              </w:rPr>
            </w:pPr>
            <w:r>
              <w:rPr>
                <w:rFonts w:hint="eastAsia" w:ascii="宋体" w:hAnsi="宋体" w:eastAsia="宋体" w:cs="宋体"/>
                <w:color w:val="auto"/>
                <w:spacing w:val="-1"/>
                <w:sz w:val="24"/>
                <w:szCs w:val="24"/>
              </w:rPr>
              <w:t>客服（24小时服务热</w:t>
            </w:r>
            <w:r>
              <w:rPr>
                <w:rFonts w:hint="eastAsia" w:ascii="宋体" w:hAnsi="宋体" w:eastAsia="宋体" w:cs="宋体"/>
                <w:color w:val="auto"/>
                <w:spacing w:val="-4"/>
                <w:sz w:val="24"/>
                <w:szCs w:val="24"/>
              </w:rPr>
              <w:t>线）</w:t>
            </w:r>
          </w:p>
        </w:tc>
        <w:tc>
          <w:tcPr>
            <w:tcW w:w="767" w:type="dxa"/>
            <w:noWrap w:val="0"/>
            <w:vAlign w:val="top"/>
          </w:tcPr>
          <w:p w14:paraId="08C54906">
            <w:pPr>
              <w:rPr>
                <w:rFonts w:hint="eastAsia" w:ascii="宋体" w:hAnsi="宋体" w:eastAsia="宋体" w:cs="宋体"/>
                <w:color w:val="auto"/>
                <w:sz w:val="24"/>
                <w:szCs w:val="24"/>
              </w:rPr>
            </w:pPr>
          </w:p>
        </w:tc>
        <w:tc>
          <w:tcPr>
            <w:tcW w:w="1323" w:type="dxa"/>
            <w:noWrap w:val="0"/>
            <w:vAlign w:val="top"/>
          </w:tcPr>
          <w:p w14:paraId="1AA65C33">
            <w:pPr>
              <w:rPr>
                <w:rFonts w:hint="eastAsia" w:ascii="宋体" w:hAnsi="宋体" w:eastAsia="宋体" w:cs="宋体"/>
                <w:color w:val="auto"/>
                <w:sz w:val="24"/>
                <w:szCs w:val="24"/>
              </w:rPr>
            </w:pPr>
          </w:p>
        </w:tc>
        <w:tc>
          <w:tcPr>
            <w:tcW w:w="4309" w:type="dxa"/>
            <w:noWrap w:val="0"/>
            <w:vAlign w:val="top"/>
          </w:tcPr>
          <w:p w14:paraId="18165DCB">
            <w:pPr>
              <w:rPr>
                <w:rFonts w:hint="eastAsia" w:ascii="宋体" w:hAnsi="宋体" w:eastAsia="宋体" w:cs="宋体"/>
                <w:color w:val="auto"/>
                <w:sz w:val="24"/>
                <w:szCs w:val="24"/>
              </w:rPr>
            </w:pPr>
          </w:p>
        </w:tc>
      </w:tr>
      <w:tr w14:paraId="724297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rPr>
        <w:tc>
          <w:tcPr>
            <w:tcW w:w="657" w:type="dxa"/>
            <w:vMerge w:val="restart"/>
            <w:tcBorders>
              <w:bottom w:val="nil"/>
            </w:tcBorders>
            <w:noWrap w:val="0"/>
            <w:vAlign w:val="top"/>
          </w:tcPr>
          <w:p w14:paraId="7615CB06">
            <w:pPr>
              <w:pStyle w:val="11"/>
              <w:spacing w:before="233" w:line="221" w:lineRule="auto"/>
              <w:ind w:left="84"/>
              <w:jc w:val="center"/>
              <w:rPr>
                <w:rFonts w:hint="eastAsia" w:ascii="宋体" w:hAnsi="宋体" w:eastAsia="宋体" w:cs="宋体"/>
                <w:color w:val="auto"/>
                <w:sz w:val="24"/>
                <w:szCs w:val="24"/>
              </w:rPr>
            </w:pPr>
            <w:r>
              <w:rPr>
                <w:rFonts w:hint="eastAsia" w:ascii="宋体" w:hAnsi="宋体" w:eastAsia="宋体" w:cs="宋体"/>
                <w:color w:val="auto"/>
                <w:spacing w:val="-2"/>
                <w:sz w:val="24"/>
                <w:szCs w:val="24"/>
              </w:rPr>
              <w:t>房屋维护服务</w:t>
            </w:r>
          </w:p>
        </w:tc>
        <w:tc>
          <w:tcPr>
            <w:tcW w:w="1988" w:type="dxa"/>
            <w:noWrap w:val="0"/>
            <w:vAlign w:val="top"/>
          </w:tcPr>
          <w:p w14:paraId="39EA0DEB">
            <w:pPr>
              <w:pStyle w:val="11"/>
              <w:spacing w:before="61" w:line="221" w:lineRule="auto"/>
              <w:ind w:left="82"/>
              <w:rPr>
                <w:rFonts w:hint="eastAsia" w:ascii="宋体" w:hAnsi="宋体" w:eastAsia="宋体" w:cs="宋体"/>
                <w:color w:val="auto"/>
                <w:sz w:val="24"/>
                <w:szCs w:val="24"/>
              </w:rPr>
            </w:pPr>
            <w:r>
              <w:rPr>
                <w:rFonts w:hint="eastAsia" w:ascii="宋体" w:hAnsi="宋体" w:eastAsia="宋体" w:cs="宋体"/>
                <w:color w:val="auto"/>
                <w:spacing w:val="-4"/>
                <w:sz w:val="24"/>
                <w:szCs w:val="24"/>
              </w:rPr>
              <w:t>主管</w:t>
            </w:r>
          </w:p>
        </w:tc>
        <w:tc>
          <w:tcPr>
            <w:tcW w:w="767" w:type="dxa"/>
            <w:noWrap w:val="0"/>
            <w:vAlign w:val="top"/>
          </w:tcPr>
          <w:p w14:paraId="26B30B91">
            <w:pPr>
              <w:rPr>
                <w:rFonts w:hint="eastAsia" w:ascii="宋体" w:hAnsi="宋体" w:eastAsia="宋体" w:cs="宋体"/>
                <w:color w:val="auto"/>
                <w:sz w:val="24"/>
                <w:szCs w:val="24"/>
              </w:rPr>
            </w:pPr>
          </w:p>
        </w:tc>
        <w:tc>
          <w:tcPr>
            <w:tcW w:w="1323" w:type="dxa"/>
            <w:noWrap w:val="0"/>
            <w:vAlign w:val="top"/>
          </w:tcPr>
          <w:p w14:paraId="4A9B2C16">
            <w:pPr>
              <w:rPr>
                <w:rFonts w:hint="eastAsia" w:ascii="宋体" w:hAnsi="宋体" w:eastAsia="宋体" w:cs="宋体"/>
                <w:color w:val="auto"/>
                <w:sz w:val="24"/>
                <w:szCs w:val="24"/>
              </w:rPr>
            </w:pPr>
          </w:p>
        </w:tc>
        <w:tc>
          <w:tcPr>
            <w:tcW w:w="4309" w:type="dxa"/>
            <w:noWrap w:val="0"/>
            <w:vAlign w:val="top"/>
          </w:tcPr>
          <w:p w14:paraId="418D71E4">
            <w:pPr>
              <w:rPr>
                <w:rFonts w:hint="eastAsia" w:ascii="宋体" w:hAnsi="宋体" w:eastAsia="宋体" w:cs="宋体"/>
                <w:color w:val="auto"/>
                <w:sz w:val="24"/>
                <w:szCs w:val="24"/>
              </w:rPr>
            </w:pPr>
          </w:p>
        </w:tc>
      </w:tr>
      <w:tr w14:paraId="5763D4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rPr>
        <w:tc>
          <w:tcPr>
            <w:tcW w:w="657" w:type="dxa"/>
            <w:vMerge w:val="continue"/>
            <w:tcBorders>
              <w:top w:val="nil"/>
            </w:tcBorders>
            <w:noWrap w:val="0"/>
            <w:vAlign w:val="top"/>
          </w:tcPr>
          <w:p w14:paraId="7D66C619">
            <w:pPr>
              <w:jc w:val="center"/>
              <w:rPr>
                <w:rFonts w:hint="eastAsia" w:ascii="宋体" w:hAnsi="宋体" w:eastAsia="宋体" w:cs="宋体"/>
                <w:color w:val="auto"/>
                <w:sz w:val="24"/>
                <w:szCs w:val="24"/>
              </w:rPr>
            </w:pPr>
          </w:p>
        </w:tc>
        <w:tc>
          <w:tcPr>
            <w:tcW w:w="1988" w:type="dxa"/>
            <w:noWrap w:val="0"/>
            <w:vAlign w:val="top"/>
          </w:tcPr>
          <w:p w14:paraId="4483344C">
            <w:pPr>
              <w:pStyle w:val="11"/>
              <w:spacing w:before="72" w:line="221" w:lineRule="auto"/>
              <w:ind w:left="83"/>
              <w:rPr>
                <w:rFonts w:hint="eastAsia" w:ascii="宋体" w:hAnsi="宋体" w:eastAsia="宋体" w:cs="宋体"/>
                <w:color w:val="auto"/>
                <w:sz w:val="24"/>
                <w:szCs w:val="24"/>
              </w:rPr>
            </w:pPr>
            <w:r>
              <w:rPr>
                <w:rFonts w:hint="eastAsia" w:ascii="宋体" w:hAnsi="宋体" w:eastAsia="宋体" w:cs="宋体"/>
                <w:color w:val="auto"/>
                <w:spacing w:val="-2"/>
                <w:sz w:val="24"/>
                <w:szCs w:val="24"/>
              </w:rPr>
              <w:t>综合维修</w:t>
            </w:r>
          </w:p>
        </w:tc>
        <w:tc>
          <w:tcPr>
            <w:tcW w:w="767" w:type="dxa"/>
            <w:noWrap w:val="0"/>
            <w:vAlign w:val="top"/>
          </w:tcPr>
          <w:p w14:paraId="1204D2A5">
            <w:pPr>
              <w:rPr>
                <w:rFonts w:hint="eastAsia" w:ascii="宋体" w:hAnsi="宋体" w:eastAsia="宋体" w:cs="宋体"/>
                <w:color w:val="auto"/>
                <w:sz w:val="24"/>
                <w:szCs w:val="24"/>
              </w:rPr>
            </w:pPr>
          </w:p>
        </w:tc>
        <w:tc>
          <w:tcPr>
            <w:tcW w:w="1323" w:type="dxa"/>
            <w:noWrap w:val="0"/>
            <w:vAlign w:val="top"/>
          </w:tcPr>
          <w:p w14:paraId="2DAC0639">
            <w:pPr>
              <w:rPr>
                <w:rFonts w:hint="eastAsia" w:ascii="宋体" w:hAnsi="宋体" w:eastAsia="宋体" w:cs="宋体"/>
                <w:color w:val="auto"/>
                <w:sz w:val="24"/>
                <w:szCs w:val="24"/>
              </w:rPr>
            </w:pPr>
          </w:p>
        </w:tc>
        <w:tc>
          <w:tcPr>
            <w:tcW w:w="4309" w:type="dxa"/>
            <w:noWrap w:val="0"/>
            <w:vAlign w:val="top"/>
          </w:tcPr>
          <w:p w14:paraId="5D30B201">
            <w:pPr>
              <w:rPr>
                <w:rFonts w:hint="eastAsia" w:ascii="宋体" w:hAnsi="宋体" w:eastAsia="宋体" w:cs="宋体"/>
                <w:color w:val="auto"/>
                <w:sz w:val="24"/>
                <w:szCs w:val="24"/>
              </w:rPr>
            </w:pPr>
          </w:p>
        </w:tc>
      </w:tr>
      <w:tr w14:paraId="6656D7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rPr>
        <w:tc>
          <w:tcPr>
            <w:tcW w:w="657" w:type="dxa"/>
            <w:vMerge w:val="restart"/>
            <w:tcBorders>
              <w:bottom w:val="nil"/>
            </w:tcBorders>
            <w:noWrap w:val="0"/>
            <w:vAlign w:val="center"/>
          </w:tcPr>
          <w:p w14:paraId="1585B93A">
            <w:pPr>
              <w:pStyle w:val="11"/>
              <w:spacing w:before="49" w:line="230" w:lineRule="auto"/>
              <w:ind w:right="78"/>
              <w:jc w:val="center"/>
              <w:rPr>
                <w:rFonts w:hint="eastAsia" w:ascii="宋体" w:hAnsi="宋体" w:eastAsia="宋体" w:cs="宋体"/>
                <w:color w:val="auto"/>
                <w:sz w:val="24"/>
                <w:szCs w:val="24"/>
              </w:rPr>
            </w:pPr>
            <w:r>
              <w:rPr>
                <w:rFonts w:hint="eastAsia" w:ascii="宋体" w:hAnsi="宋体" w:eastAsia="宋体" w:cs="宋体"/>
                <w:color w:val="auto"/>
                <w:spacing w:val="8"/>
                <w:sz w:val="24"/>
                <w:szCs w:val="24"/>
              </w:rPr>
              <w:t>公用设施设备</w:t>
            </w:r>
            <w:r>
              <w:rPr>
                <w:rFonts w:hint="eastAsia" w:ascii="宋体" w:hAnsi="宋体" w:eastAsia="宋体" w:cs="宋体"/>
                <w:color w:val="auto"/>
                <w:spacing w:val="-3"/>
                <w:sz w:val="24"/>
                <w:szCs w:val="24"/>
              </w:rPr>
              <w:t>维护服务</w:t>
            </w:r>
          </w:p>
        </w:tc>
        <w:tc>
          <w:tcPr>
            <w:tcW w:w="1988" w:type="dxa"/>
            <w:noWrap w:val="0"/>
            <w:vAlign w:val="top"/>
          </w:tcPr>
          <w:p w14:paraId="15183050">
            <w:pPr>
              <w:pStyle w:val="11"/>
              <w:spacing w:before="73" w:line="221" w:lineRule="auto"/>
              <w:ind w:left="82"/>
              <w:rPr>
                <w:rFonts w:hint="eastAsia" w:ascii="宋体" w:hAnsi="宋体" w:eastAsia="宋体" w:cs="宋体"/>
                <w:color w:val="auto"/>
                <w:sz w:val="24"/>
                <w:szCs w:val="24"/>
              </w:rPr>
            </w:pPr>
            <w:r>
              <w:rPr>
                <w:rFonts w:hint="eastAsia" w:ascii="宋体" w:hAnsi="宋体" w:eastAsia="宋体" w:cs="宋体"/>
                <w:color w:val="auto"/>
                <w:spacing w:val="-4"/>
                <w:sz w:val="24"/>
                <w:szCs w:val="24"/>
              </w:rPr>
              <w:t>主管</w:t>
            </w:r>
          </w:p>
        </w:tc>
        <w:tc>
          <w:tcPr>
            <w:tcW w:w="767" w:type="dxa"/>
            <w:noWrap w:val="0"/>
            <w:vAlign w:val="top"/>
          </w:tcPr>
          <w:p w14:paraId="7EC77413">
            <w:pPr>
              <w:rPr>
                <w:rFonts w:hint="eastAsia" w:ascii="宋体" w:hAnsi="宋体" w:eastAsia="宋体" w:cs="宋体"/>
                <w:color w:val="auto"/>
                <w:sz w:val="24"/>
                <w:szCs w:val="24"/>
              </w:rPr>
            </w:pPr>
          </w:p>
        </w:tc>
        <w:tc>
          <w:tcPr>
            <w:tcW w:w="1323" w:type="dxa"/>
            <w:noWrap w:val="0"/>
            <w:vAlign w:val="top"/>
          </w:tcPr>
          <w:p w14:paraId="56C3DD15">
            <w:pPr>
              <w:rPr>
                <w:rFonts w:hint="eastAsia" w:ascii="宋体" w:hAnsi="宋体" w:eastAsia="宋体" w:cs="宋体"/>
                <w:color w:val="auto"/>
                <w:sz w:val="24"/>
                <w:szCs w:val="24"/>
              </w:rPr>
            </w:pPr>
          </w:p>
        </w:tc>
        <w:tc>
          <w:tcPr>
            <w:tcW w:w="4309" w:type="dxa"/>
            <w:noWrap w:val="0"/>
            <w:vAlign w:val="top"/>
          </w:tcPr>
          <w:p w14:paraId="217B9CF6">
            <w:pPr>
              <w:rPr>
                <w:rFonts w:hint="eastAsia" w:ascii="宋体" w:hAnsi="宋体" w:eastAsia="宋体" w:cs="宋体"/>
                <w:color w:val="auto"/>
                <w:sz w:val="24"/>
                <w:szCs w:val="24"/>
              </w:rPr>
            </w:pPr>
          </w:p>
        </w:tc>
      </w:tr>
      <w:tr w14:paraId="4F3049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 w:hRule="atLeast"/>
        </w:trPr>
        <w:tc>
          <w:tcPr>
            <w:tcW w:w="657" w:type="dxa"/>
            <w:vMerge w:val="continue"/>
            <w:tcBorders>
              <w:top w:val="nil"/>
              <w:bottom w:val="nil"/>
            </w:tcBorders>
            <w:noWrap w:val="0"/>
            <w:vAlign w:val="top"/>
          </w:tcPr>
          <w:p w14:paraId="79C8FD75">
            <w:pPr>
              <w:jc w:val="center"/>
              <w:rPr>
                <w:rFonts w:hint="eastAsia" w:ascii="宋体" w:hAnsi="宋体" w:eastAsia="宋体" w:cs="宋体"/>
                <w:color w:val="auto"/>
                <w:sz w:val="24"/>
                <w:szCs w:val="24"/>
              </w:rPr>
            </w:pPr>
          </w:p>
        </w:tc>
        <w:tc>
          <w:tcPr>
            <w:tcW w:w="1988" w:type="dxa"/>
            <w:noWrap w:val="0"/>
            <w:vAlign w:val="top"/>
          </w:tcPr>
          <w:p w14:paraId="50A2899D">
            <w:pPr>
              <w:pStyle w:val="11"/>
              <w:spacing w:before="73" w:line="221" w:lineRule="auto"/>
              <w:ind w:left="84"/>
              <w:rPr>
                <w:rFonts w:hint="eastAsia" w:ascii="宋体" w:hAnsi="宋体" w:eastAsia="宋体" w:cs="宋体"/>
                <w:color w:val="auto"/>
                <w:sz w:val="24"/>
                <w:szCs w:val="24"/>
              </w:rPr>
            </w:pPr>
            <w:r>
              <w:rPr>
                <w:rFonts w:hint="eastAsia" w:ascii="宋体" w:hAnsi="宋体" w:eastAsia="宋体" w:cs="宋体"/>
                <w:color w:val="auto"/>
                <w:spacing w:val="-3"/>
                <w:sz w:val="24"/>
                <w:szCs w:val="24"/>
              </w:rPr>
              <w:t>弱电维修</w:t>
            </w:r>
          </w:p>
        </w:tc>
        <w:tc>
          <w:tcPr>
            <w:tcW w:w="767" w:type="dxa"/>
            <w:noWrap w:val="0"/>
            <w:vAlign w:val="top"/>
          </w:tcPr>
          <w:p w14:paraId="395CD473">
            <w:pPr>
              <w:rPr>
                <w:rFonts w:hint="eastAsia" w:ascii="宋体" w:hAnsi="宋体" w:eastAsia="宋体" w:cs="宋体"/>
                <w:color w:val="auto"/>
                <w:sz w:val="24"/>
                <w:szCs w:val="24"/>
              </w:rPr>
            </w:pPr>
          </w:p>
        </w:tc>
        <w:tc>
          <w:tcPr>
            <w:tcW w:w="1323" w:type="dxa"/>
            <w:noWrap w:val="0"/>
            <w:vAlign w:val="top"/>
          </w:tcPr>
          <w:p w14:paraId="0CD0F324">
            <w:pPr>
              <w:rPr>
                <w:rFonts w:hint="eastAsia" w:ascii="宋体" w:hAnsi="宋体" w:eastAsia="宋体" w:cs="宋体"/>
                <w:color w:val="auto"/>
                <w:sz w:val="24"/>
                <w:szCs w:val="24"/>
              </w:rPr>
            </w:pPr>
          </w:p>
        </w:tc>
        <w:tc>
          <w:tcPr>
            <w:tcW w:w="4309" w:type="dxa"/>
            <w:noWrap w:val="0"/>
            <w:vAlign w:val="top"/>
          </w:tcPr>
          <w:p w14:paraId="5CE8F42D">
            <w:pPr>
              <w:rPr>
                <w:rFonts w:hint="eastAsia" w:ascii="宋体" w:hAnsi="宋体" w:eastAsia="宋体" w:cs="宋体"/>
                <w:color w:val="auto"/>
                <w:sz w:val="24"/>
                <w:szCs w:val="24"/>
              </w:rPr>
            </w:pPr>
          </w:p>
        </w:tc>
      </w:tr>
      <w:tr w14:paraId="331FB3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rPr>
        <w:tc>
          <w:tcPr>
            <w:tcW w:w="657" w:type="dxa"/>
            <w:vMerge w:val="continue"/>
            <w:tcBorders>
              <w:top w:val="nil"/>
              <w:bottom w:val="nil"/>
            </w:tcBorders>
            <w:noWrap w:val="0"/>
            <w:vAlign w:val="top"/>
          </w:tcPr>
          <w:p w14:paraId="5B62C05C">
            <w:pPr>
              <w:jc w:val="center"/>
              <w:rPr>
                <w:rFonts w:hint="eastAsia" w:ascii="宋体" w:hAnsi="宋体" w:eastAsia="宋体" w:cs="宋体"/>
                <w:color w:val="auto"/>
                <w:sz w:val="24"/>
                <w:szCs w:val="24"/>
              </w:rPr>
            </w:pPr>
          </w:p>
        </w:tc>
        <w:tc>
          <w:tcPr>
            <w:tcW w:w="1988" w:type="dxa"/>
            <w:noWrap w:val="0"/>
            <w:vAlign w:val="top"/>
          </w:tcPr>
          <w:p w14:paraId="6834132F">
            <w:pPr>
              <w:pStyle w:val="11"/>
              <w:spacing w:before="74" w:line="221" w:lineRule="auto"/>
              <w:ind w:left="85"/>
              <w:rPr>
                <w:rFonts w:hint="eastAsia" w:ascii="宋体" w:hAnsi="宋体" w:eastAsia="宋体" w:cs="宋体"/>
                <w:color w:val="auto"/>
                <w:sz w:val="24"/>
                <w:szCs w:val="24"/>
              </w:rPr>
            </w:pPr>
            <w:r>
              <w:rPr>
                <w:rFonts w:hint="eastAsia" w:ascii="宋体" w:hAnsi="宋体" w:eastAsia="宋体" w:cs="宋体"/>
                <w:color w:val="auto"/>
                <w:spacing w:val="-4"/>
                <w:sz w:val="24"/>
                <w:szCs w:val="24"/>
              </w:rPr>
              <w:t>高配工</w:t>
            </w:r>
          </w:p>
        </w:tc>
        <w:tc>
          <w:tcPr>
            <w:tcW w:w="767" w:type="dxa"/>
            <w:noWrap w:val="0"/>
            <w:vAlign w:val="top"/>
          </w:tcPr>
          <w:p w14:paraId="7090DD09">
            <w:pPr>
              <w:rPr>
                <w:rFonts w:hint="eastAsia" w:ascii="宋体" w:hAnsi="宋体" w:eastAsia="宋体" w:cs="宋体"/>
                <w:color w:val="auto"/>
                <w:sz w:val="24"/>
                <w:szCs w:val="24"/>
              </w:rPr>
            </w:pPr>
          </w:p>
        </w:tc>
        <w:tc>
          <w:tcPr>
            <w:tcW w:w="1323" w:type="dxa"/>
            <w:noWrap w:val="0"/>
            <w:vAlign w:val="top"/>
          </w:tcPr>
          <w:p w14:paraId="09276450">
            <w:pPr>
              <w:rPr>
                <w:rFonts w:hint="eastAsia" w:ascii="宋体" w:hAnsi="宋体" w:eastAsia="宋体" w:cs="宋体"/>
                <w:color w:val="auto"/>
                <w:sz w:val="24"/>
                <w:szCs w:val="24"/>
              </w:rPr>
            </w:pPr>
          </w:p>
        </w:tc>
        <w:tc>
          <w:tcPr>
            <w:tcW w:w="4309" w:type="dxa"/>
            <w:noWrap w:val="0"/>
            <w:vAlign w:val="top"/>
          </w:tcPr>
          <w:p w14:paraId="6EA7CA45">
            <w:pPr>
              <w:pStyle w:val="11"/>
              <w:spacing w:before="74" w:line="221" w:lineRule="auto"/>
              <w:ind w:left="82"/>
              <w:rPr>
                <w:rFonts w:hint="eastAsia" w:ascii="宋体" w:hAnsi="宋体" w:eastAsia="宋体" w:cs="宋体"/>
                <w:color w:val="auto"/>
                <w:sz w:val="24"/>
                <w:szCs w:val="24"/>
              </w:rPr>
            </w:pPr>
            <w:r>
              <w:rPr>
                <w:rFonts w:hint="eastAsia" w:ascii="宋体" w:hAnsi="宋体" w:eastAsia="宋体" w:cs="宋体"/>
                <w:color w:val="auto"/>
                <w:spacing w:val="-1"/>
                <w:sz w:val="24"/>
                <w:szCs w:val="24"/>
              </w:rPr>
              <w:t>如：特种作业操作证（高压电工作业）</w:t>
            </w:r>
          </w:p>
        </w:tc>
      </w:tr>
      <w:tr w14:paraId="098519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rPr>
        <w:tc>
          <w:tcPr>
            <w:tcW w:w="657" w:type="dxa"/>
            <w:vMerge w:val="continue"/>
            <w:tcBorders>
              <w:top w:val="nil"/>
              <w:bottom w:val="nil"/>
            </w:tcBorders>
            <w:noWrap w:val="0"/>
            <w:vAlign w:val="top"/>
          </w:tcPr>
          <w:p w14:paraId="7641245D">
            <w:pPr>
              <w:jc w:val="center"/>
              <w:rPr>
                <w:rFonts w:hint="eastAsia" w:ascii="宋体" w:hAnsi="宋体" w:eastAsia="宋体" w:cs="宋体"/>
                <w:color w:val="auto"/>
                <w:sz w:val="24"/>
                <w:szCs w:val="24"/>
              </w:rPr>
            </w:pPr>
          </w:p>
        </w:tc>
        <w:tc>
          <w:tcPr>
            <w:tcW w:w="1988" w:type="dxa"/>
            <w:noWrap w:val="0"/>
            <w:vAlign w:val="top"/>
          </w:tcPr>
          <w:p w14:paraId="5553A92A">
            <w:pPr>
              <w:pStyle w:val="11"/>
              <w:spacing w:before="74" w:line="221" w:lineRule="auto"/>
              <w:ind w:left="83"/>
              <w:rPr>
                <w:rFonts w:hint="eastAsia" w:ascii="宋体" w:hAnsi="宋体" w:eastAsia="宋体" w:cs="宋体"/>
                <w:color w:val="auto"/>
                <w:sz w:val="24"/>
                <w:szCs w:val="24"/>
              </w:rPr>
            </w:pPr>
            <w:r>
              <w:rPr>
                <w:rFonts w:hint="eastAsia" w:ascii="宋体" w:hAnsi="宋体" w:eastAsia="宋体" w:cs="宋体"/>
                <w:color w:val="auto"/>
                <w:spacing w:val="-3"/>
                <w:sz w:val="24"/>
                <w:szCs w:val="24"/>
              </w:rPr>
              <w:t>水电工</w:t>
            </w:r>
          </w:p>
        </w:tc>
        <w:tc>
          <w:tcPr>
            <w:tcW w:w="767" w:type="dxa"/>
            <w:noWrap w:val="0"/>
            <w:vAlign w:val="top"/>
          </w:tcPr>
          <w:p w14:paraId="30DF4BE3">
            <w:pPr>
              <w:rPr>
                <w:rFonts w:hint="eastAsia" w:ascii="宋体" w:hAnsi="宋体" w:eastAsia="宋体" w:cs="宋体"/>
                <w:color w:val="auto"/>
                <w:sz w:val="24"/>
                <w:szCs w:val="24"/>
              </w:rPr>
            </w:pPr>
          </w:p>
        </w:tc>
        <w:tc>
          <w:tcPr>
            <w:tcW w:w="1323" w:type="dxa"/>
            <w:noWrap w:val="0"/>
            <w:vAlign w:val="top"/>
          </w:tcPr>
          <w:p w14:paraId="6BCA2F71">
            <w:pPr>
              <w:rPr>
                <w:rFonts w:hint="eastAsia" w:ascii="宋体" w:hAnsi="宋体" w:eastAsia="宋体" w:cs="宋体"/>
                <w:color w:val="auto"/>
                <w:sz w:val="24"/>
                <w:szCs w:val="24"/>
              </w:rPr>
            </w:pPr>
          </w:p>
        </w:tc>
        <w:tc>
          <w:tcPr>
            <w:tcW w:w="4309" w:type="dxa"/>
            <w:noWrap w:val="0"/>
            <w:vAlign w:val="top"/>
          </w:tcPr>
          <w:p w14:paraId="645D5BE3">
            <w:pPr>
              <w:pStyle w:val="11"/>
              <w:spacing w:before="74" w:line="221" w:lineRule="auto"/>
              <w:ind w:left="82"/>
              <w:rPr>
                <w:rFonts w:hint="eastAsia" w:ascii="宋体" w:hAnsi="宋体" w:eastAsia="宋体" w:cs="宋体"/>
                <w:color w:val="auto"/>
                <w:sz w:val="24"/>
                <w:szCs w:val="24"/>
              </w:rPr>
            </w:pPr>
            <w:r>
              <w:rPr>
                <w:rFonts w:hint="eastAsia" w:ascii="宋体" w:hAnsi="宋体" w:eastAsia="宋体" w:cs="宋体"/>
                <w:color w:val="auto"/>
                <w:spacing w:val="-1"/>
                <w:sz w:val="24"/>
                <w:szCs w:val="24"/>
              </w:rPr>
              <w:t>如：特种作业操作证（低压电工作业）</w:t>
            </w:r>
          </w:p>
        </w:tc>
      </w:tr>
      <w:tr w14:paraId="32D4F2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rPr>
        <w:tc>
          <w:tcPr>
            <w:tcW w:w="657" w:type="dxa"/>
            <w:vMerge w:val="continue"/>
            <w:tcBorders>
              <w:top w:val="nil"/>
              <w:bottom w:val="nil"/>
            </w:tcBorders>
            <w:noWrap w:val="0"/>
            <w:vAlign w:val="top"/>
          </w:tcPr>
          <w:p w14:paraId="0244B232">
            <w:pPr>
              <w:jc w:val="center"/>
              <w:rPr>
                <w:rFonts w:hint="eastAsia" w:ascii="宋体" w:hAnsi="宋体" w:eastAsia="宋体" w:cs="宋体"/>
                <w:color w:val="auto"/>
                <w:sz w:val="24"/>
                <w:szCs w:val="24"/>
              </w:rPr>
            </w:pPr>
          </w:p>
        </w:tc>
        <w:tc>
          <w:tcPr>
            <w:tcW w:w="1988" w:type="dxa"/>
            <w:noWrap w:val="0"/>
            <w:vAlign w:val="top"/>
          </w:tcPr>
          <w:p w14:paraId="5E38479E">
            <w:pPr>
              <w:pStyle w:val="11"/>
              <w:spacing w:before="75" w:line="221" w:lineRule="auto"/>
              <w:ind w:left="87"/>
              <w:rPr>
                <w:rFonts w:hint="eastAsia" w:ascii="宋体" w:hAnsi="宋体" w:eastAsia="宋体" w:cs="宋体"/>
                <w:color w:val="auto"/>
                <w:sz w:val="24"/>
                <w:szCs w:val="24"/>
              </w:rPr>
            </w:pPr>
            <w:r>
              <w:rPr>
                <w:rFonts w:hint="eastAsia" w:ascii="宋体" w:hAnsi="宋体" w:eastAsia="宋体" w:cs="宋体"/>
                <w:color w:val="auto"/>
                <w:spacing w:val="-4"/>
                <w:sz w:val="24"/>
                <w:szCs w:val="24"/>
              </w:rPr>
              <w:t>暖通工</w:t>
            </w:r>
          </w:p>
        </w:tc>
        <w:tc>
          <w:tcPr>
            <w:tcW w:w="767" w:type="dxa"/>
            <w:noWrap w:val="0"/>
            <w:vAlign w:val="top"/>
          </w:tcPr>
          <w:p w14:paraId="0FF2DC07">
            <w:pPr>
              <w:rPr>
                <w:rFonts w:hint="eastAsia" w:ascii="宋体" w:hAnsi="宋体" w:eastAsia="宋体" w:cs="宋体"/>
                <w:color w:val="auto"/>
                <w:sz w:val="24"/>
                <w:szCs w:val="24"/>
              </w:rPr>
            </w:pPr>
          </w:p>
        </w:tc>
        <w:tc>
          <w:tcPr>
            <w:tcW w:w="1323" w:type="dxa"/>
            <w:noWrap w:val="0"/>
            <w:vAlign w:val="top"/>
          </w:tcPr>
          <w:p w14:paraId="6B668CD2">
            <w:pPr>
              <w:rPr>
                <w:rFonts w:hint="eastAsia" w:ascii="宋体" w:hAnsi="宋体" w:eastAsia="宋体" w:cs="宋体"/>
                <w:color w:val="auto"/>
                <w:sz w:val="24"/>
                <w:szCs w:val="24"/>
              </w:rPr>
            </w:pPr>
          </w:p>
        </w:tc>
        <w:tc>
          <w:tcPr>
            <w:tcW w:w="4309" w:type="dxa"/>
            <w:noWrap w:val="0"/>
            <w:vAlign w:val="top"/>
          </w:tcPr>
          <w:p w14:paraId="3BD286E4">
            <w:pPr>
              <w:rPr>
                <w:rFonts w:hint="eastAsia" w:ascii="宋体" w:hAnsi="宋体" w:eastAsia="宋体" w:cs="宋体"/>
                <w:color w:val="auto"/>
                <w:sz w:val="24"/>
                <w:szCs w:val="24"/>
              </w:rPr>
            </w:pPr>
          </w:p>
        </w:tc>
      </w:tr>
      <w:tr w14:paraId="58F18C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 w:hRule="atLeast"/>
        </w:trPr>
        <w:tc>
          <w:tcPr>
            <w:tcW w:w="657" w:type="dxa"/>
            <w:vMerge w:val="continue"/>
            <w:tcBorders>
              <w:top w:val="nil"/>
              <w:bottom w:val="nil"/>
            </w:tcBorders>
            <w:noWrap w:val="0"/>
            <w:vAlign w:val="top"/>
          </w:tcPr>
          <w:p w14:paraId="6193A651">
            <w:pPr>
              <w:jc w:val="center"/>
              <w:rPr>
                <w:rFonts w:hint="eastAsia" w:ascii="宋体" w:hAnsi="宋体" w:eastAsia="宋体" w:cs="宋体"/>
                <w:color w:val="auto"/>
                <w:sz w:val="24"/>
                <w:szCs w:val="24"/>
              </w:rPr>
            </w:pPr>
          </w:p>
        </w:tc>
        <w:tc>
          <w:tcPr>
            <w:tcW w:w="1988" w:type="dxa"/>
            <w:noWrap w:val="0"/>
            <w:vAlign w:val="top"/>
          </w:tcPr>
          <w:p w14:paraId="4EE306E2">
            <w:pPr>
              <w:pStyle w:val="11"/>
              <w:spacing w:before="76" w:line="221" w:lineRule="auto"/>
              <w:ind w:left="81"/>
              <w:rPr>
                <w:rFonts w:hint="eastAsia" w:ascii="宋体" w:hAnsi="宋体" w:eastAsia="宋体" w:cs="宋体"/>
                <w:color w:val="auto"/>
                <w:sz w:val="24"/>
                <w:szCs w:val="24"/>
              </w:rPr>
            </w:pPr>
            <w:r>
              <w:rPr>
                <w:rFonts w:hint="eastAsia" w:ascii="宋体" w:hAnsi="宋体" w:eastAsia="宋体" w:cs="宋体"/>
                <w:color w:val="auto"/>
                <w:spacing w:val="-2"/>
                <w:sz w:val="24"/>
                <w:szCs w:val="24"/>
              </w:rPr>
              <w:t>锅炉工</w:t>
            </w:r>
          </w:p>
        </w:tc>
        <w:tc>
          <w:tcPr>
            <w:tcW w:w="767" w:type="dxa"/>
            <w:noWrap w:val="0"/>
            <w:vAlign w:val="top"/>
          </w:tcPr>
          <w:p w14:paraId="3EF7527E">
            <w:pPr>
              <w:rPr>
                <w:rFonts w:hint="eastAsia" w:ascii="宋体" w:hAnsi="宋体" w:eastAsia="宋体" w:cs="宋体"/>
                <w:color w:val="auto"/>
                <w:sz w:val="24"/>
                <w:szCs w:val="24"/>
              </w:rPr>
            </w:pPr>
          </w:p>
        </w:tc>
        <w:tc>
          <w:tcPr>
            <w:tcW w:w="1323" w:type="dxa"/>
            <w:noWrap w:val="0"/>
            <w:vAlign w:val="top"/>
          </w:tcPr>
          <w:p w14:paraId="51A998B6">
            <w:pPr>
              <w:rPr>
                <w:rFonts w:hint="eastAsia" w:ascii="宋体" w:hAnsi="宋体" w:eastAsia="宋体" w:cs="宋体"/>
                <w:color w:val="auto"/>
                <w:sz w:val="24"/>
                <w:szCs w:val="24"/>
              </w:rPr>
            </w:pPr>
          </w:p>
        </w:tc>
        <w:tc>
          <w:tcPr>
            <w:tcW w:w="4309" w:type="dxa"/>
            <w:noWrap w:val="0"/>
            <w:vAlign w:val="top"/>
          </w:tcPr>
          <w:p w14:paraId="0E99CEE9">
            <w:pPr>
              <w:pStyle w:val="11"/>
              <w:spacing w:before="75" w:line="221" w:lineRule="auto"/>
              <w:ind w:left="82"/>
              <w:rPr>
                <w:rFonts w:hint="eastAsia" w:ascii="宋体" w:hAnsi="宋体" w:eastAsia="宋体" w:cs="宋体"/>
                <w:color w:val="auto"/>
                <w:sz w:val="24"/>
                <w:szCs w:val="24"/>
              </w:rPr>
            </w:pPr>
            <w:r>
              <w:rPr>
                <w:rFonts w:hint="eastAsia" w:ascii="宋体" w:hAnsi="宋体" w:eastAsia="宋体" w:cs="宋体"/>
                <w:color w:val="auto"/>
                <w:spacing w:val="-1"/>
                <w:sz w:val="24"/>
                <w:szCs w:val="24"/>
              </w:rPr>
              <w:t>如：特种设备作业人员证（锅炉）</w:t>
            </w:r>
          </w:p>
        </w:tc>
      </w:tr>
      <w:tr w14:paraId="73180B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4" w:hRule="atLeast"/>
        </w:trPr>
        <w:tc>
          <w:tcPr>
            <w:tcW w:w="657" w:type="dxa"/>
            <w:vMerge w:val="continue"/>
            <w:tcBorders>
              <w:top w:val="nil"/>
            </w:tcBorders>
            <w:noWrap w:val="0"/>
            <w:vAlign w:val="top"/>
          </w:tcPr>
          <w:p w14:paraId="62FFE3A6">
            <w:pPr>
              <w:jc w:val="center"/>
              <w:rPr>
                <w:rFonts w:hint="eastAsia" w:ascii="宋体" w:hAnsi="宋体" w:eastAsia="宋体" w:cs="宋体"/>
                <w:color w:val="auto"/>
                <w:sz w:val="24"/>
                <w:szCs w:val="24"/>
              </w:rPr>
            </w:pPr>
          </w:p>
        </w:tc>
        <w:tc>
          <w:tcPr>
            <w:tcW w:w="1988" w:type="dxa"/>
            <w:noWrap w:val="0"/>
            <w:vAlign w:val="top"/>
          </w:tcPr>
          <w:p w14:paraId="26A3F0CC">
            <w:pPr>
              <w:pStyle w:val="11"/>
              <w:spacing w:before="76" w:line="221" w:lineRule="auto"/>
              <w:ind w:left="99"/>
              <w:rPr>
                <w:rFonts w:hint="eastAsia" w:ascii="宋体" w:hAnsi="宋体" w:eastAsia="宋体" w:cs="宋体"/>
                <w:color w:val="auto"/>
                <w:sz w:val="24"/>
                <w:szCs w:val="24"/>
              </w:rPr>
            </w:pPr>
            <w:r>
              <w:rPr>
                <w:rFonts w:hint="eastAsia" w:ascii="宋体" w:hAnsi="宋体" w:eastAsia="宋体" w:cs="宋体"/>
                <w:color w:val="auto"/>
                <w:spacing w:val="-8"/>
                <w:sz w:val="24"/>
                <w:szCs w:val="24"/>
              </w:rPr>
              <w:t>电梯工</w:t>
            </w:r>
          </w:p>
        </w:tc>
        <w:tc>
          <w:tcPr>
            <w:tcW w:w="767" w:type="dxa"/>
            <w:noWrap w:val="0"/>
            <w:vAlign w:val="top"/>
          </w:tcPr>
          <w:p w14:paraId="2069F2A7">
            <w:pPr>
              <w:rPr>
                <w:rFonts w:hint="eastAsia" w:ascii="宋体" w:hAnsi="宋体" w:eastAsia="宋体" w:cs="宋体"/>
                <w:color w:val="auto"/>
                <w:sz w:val="24"/>
                <w:szCs w:val="24"/>
              </w:rPr>
            </w:pPr>
          </w:p>
        </w:tc>
        <w:tc>
          <w:tcPr>
            <w:tcW w:w="1323" w:type="dxa"/>
            <w:noWrap w:val="0"/>
            <w:vAlign w:val="top"/>
          </w:tcPr>
          <w:p w14:paraId="709B5BDF">
            <w:pPr>
              <w:rPr>
                <w:rFonts w:hint="eastAsia" w:ascii="宋体" w:hAnsi="宋体" w:eastAsia="宋体" w:cs="宋体"/>
                <w:color w:val="auto"/>
                <w:sz w:val="24"/>
                <w:szCs w:val="24"/>
              </w:rPr>
            </w:pPr>
          </w:p>
        </w:tc>
        <w:tc>
          <w:tcPr>
            <w:tcW w:w="4309" w:type="dxa"/>
            <w:noWrap w:val="0"/>
            <w:vAlign w:val="top"/>
          </w:tcPr>
          <w:p w14:paraId="0E5399A8">
            <w:pPr>
              <w:rPr>
                <w:rFonts w:hint="eastAsia" w:ascii="宋体" w:hAnsi="宋体" w:eastAsia="宋体" w:cs="宋体"/>
                <w:color w:val="auto"/>
                <w:sz w:val="24"/>
                <w:szCs w:val="24"/>
              </w:rPr>
            </w:pPr>
          </w:p>
        </w:tc>
      </w:tr>
      <w:tr w14:paraId="0BA9AD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rPr>
        <w:tc>
          <w:tcPr>
            <w:tcW w:w="657" w:type="dxa"/>
            <w:vMerge w:val="restart"/>
            <w:tcBorders>
              <w:bottom w:val="nil"/>
            </w:tcBorders>
            <w:noWrap w:val="0"/>
            <w:vAlign w:val="center"/>
          </w:tcPr>
          <w:p w14:paraId="64BB50AD">
            <w:pPr>
              <w:pStyle w:val="11"/>
              <w:spacing w:before="49" w:line="221" w:lineRule="auto"/>
              <w:jc w:val="center"/>
              <w:rPr>
                <w:rFonts w:hint="eastAsia" w:ascii="宋体" w:hAnsi="宋体" w:eastAsia="宋体" w:cs="宋体"/>
                <w:color w:val="auto"/>
                <w:sz w:val="24"/>
                <w:szCs w:val="24"/>
              </w:rPr>
            </w:pPr>
            <w:r>
              <w:rPr>
                <w:rFonts w:hint="eastAsia" w:ascii="宋体" w:hAnsi="宋体" w:eastAsia="宋体" w:cs="宋体"/>
                <w:color w:val="auto"/>
                <w:spacing w:val="-2"/>
                <w:sz w:val="24"/>
                <w:szCs w:val="24"/>
              </w:rPr>
              <w:t>保洁服务</w:t>
            </w:r>
          </w:p>
        </w:tc>
        <w:tc>
          <w:tcPr>
            <w:tcW w:w="1988" w:type="dxa"/>
            <w:noWrap w:val="0"/>
            <w:vAlign w:val="top"/>
          </w:tcPr>
          <w:p w14:paraId="7403F94B">
            <w:pPr>
              <w:pStyle w:val="11"/>
              <w:spacing w:before="76" w:line="221" w:lineRule="auto"/>
              <w:ind w:left="82"/>
              <w:rPr>
                <w:rFonts w:hint="eastAsia" w:ascii="宋体" w:hAnsi="宋体" w:eastAsia="宋体" w:cs="宋体"/>
                <w:color w:val="auto"/>
                <w:sz w:val="24"/>
                <w:szCs w:val="24"/>
              </w:rPr>
            </w:pPr>
            <w:r>
              <w:rPr>
                <w:rFonts w:hint="eastAsia" w:ascii="宋体" w:hAnsi="宋体" w:eastAsia="宋体" w:cs="宋体"/>
                <w:color w:val="auto"/>
                <w:spacing w:val="-4"/>
                <w:sz w:val="24"/>
                <w:szCs w:val="24"/>
              </w:rPr>
              <w:t>主管</w:t>
            </w:r>
          </w:p>
        </w:tc>
        <w:tc>
          <w:tcPr>
            <w:tcW w:w="767" w:type="dxa"/>
            <w:noWrap w:val="0"/>
            <w:vAlign w:val="top"/>
          </w:tcPr>
          <w:p w14:paraId="4674E943">
            <w:pPr>
              <w:rPr>
                <w:rFonts w:hint="eastAsia" w:ascii="宋体" w:hAnsi="宋体" w:eastAsia="宋体" w:cs="宋体"/>
                <w:color w:val="auto"/>
                <w:sz w:val="24"/>
                <w:szCs w:val="24"/>
              </w:rPr>
            </w:pPr>
          </w:p>
        </w:tc>
        <w:tc>
          <w:tcPr>
            <w:tcW w:w="1323" w:type="dxa"/>
            <w:noWrap w:val="0"/>
            <w:vAlign w:val="top"/>
          </w:tcPr>
          <w:p w14:paraId="1BCEDFF5">
            <w:pPr>
              <w:rPr>
                <w:rFonts w:hint="eastAsia" w:ascii="宋体" w:hAnsi="宋体" w:eastAsia="宋体" w:cs="宋体"/>
                <w:color w:val="auto"/>
                <w:sz w:val="24"/>
                <w:szCs w:val="24"/>
              </w:rPr>
            </w:pPr>
          </w:p>
        </w:tc>
        <w:tc>
          <w:tcPr>
            <w:tcW w:w="4309" w:type="dxa"/>
            <w:noWrap w:val="0"/>
            <w:vAlign w:val="top"/>
          </w:tcPr>
          <w:p w14:paraId="5470EAEC">
            <w:pPr>
              <w:rPr>
                <w:rFonts w:hint="eastAsia" w:ascii="宋体" w:hAnsi="宋体" w:eastAsia="宋体" w:cs="宋体"/>
                <w:color w:val="auto"/>
                <w:sz w:val="24"/>
                <w:szCs w:val="24"/>
              </w:rPr>
            </w:pPr>
          </w:p>
        </w:tc>
      </w:tr>
      <w:tr w14:paraId="0E165E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rPr>
        <w:tc>
          <w:tcPr>
            <w:tcW w:w="657" w:type="dxa"/>
            <w:vMerge w:val="continue"/>
            <w:tcBorders>
              <w:top w:val="nil"/>
              <w:bottom w:val="nil"/>
            </w:tcBorders>
            <w:noWrap w:val="0"/>
            <w:vAlign w:val="center"/>
          </w:tcPr>
          <w:p w14:paraId="294AA803">
            <w:pPr>
              <w:jc w:val="center"/>
              <w:rPr>
                <w:rFonts w:hint="eastAsia" w:ascii="宋体" w:hAnsi="宋体" w:eastAsia="宋体" w:cs="宋体"/>
                <w:color w:val="auto"/>
                <w:sz w:val="24"/>
                <w:szCs w:val="24"/>
              </w:rPr>
            </w:pPr>
          </w:p>
        </w:tc>
        <w:tc>
          <w:tcPr>
            <w:tcW w:w="1988" w:type="dxa"/>
            <w:noWrap w:val="0"/>
            <w:vAlign w:val="top"/>
          </w:tcPr>
          <w:p w14:paraId="245C266B">
            <w:pPr>
              <w:pStyle w:val="11"/>
              <w:spacing w:before="77" w:line="221" w:lineRule="auto"/>
              <w:ind w:left="82"/>
              <w:rPr>
                <w:rFonts w:hint="eastAsia" w:ascii="宋体" w:hAnsi="宋体" w:eastAsia="宋体" w:cs="宋体"/>
                <w:color w:val="auto"/>
                <w:sz w:val="24"/>
                <w:szCs w:val="24"/>
              </w:rPr>
            </w:pPr>
            <w:r>
              <w:rPr>
                <w:rFonts w:hint="eastAsia" w:ascii="宋体" w:hAnsi="宋体" w:eastAsia="宋体" w:cs="宋体"/>
                <w:color w:val="auto"/>
                <w:spacing w:val="-2"/>
                <w:sz w:val="24"/>
                <w:szCs w:val="24"/>
              </w:rPr>
              <w:t>保洁员</w:t>
            </w:r>
          </w:p>
        </w:tc>
        <w:tc>
          <w:tcPr>
            <w:tcW w:w="767" w:type="dxa"/>
            <w:noWrap w:val="0"/>
            <w:vAlign w:val="top"/>
          </w:tcPr>
          <w:p w14:paraId="01BAF5CC">
            <w:pPr>
              <w:rPr>
                <w:rFonts w:hint="eastAsia" w:ascii="宋体" w:hAnsi="宋体" w:eastAsia="宋体" w:cs="宋体"/>
                <w:color w:val="auto"/>
                <w:sz w:val="24"/>
                <w:szCs w:val="24"/>
              </w:rPr>
            </w:pPr>
          </w:p>
        </w:tc>
        <w:tc>
          <w:tcPr>
            <w:tcW w:w="1323" w:type="dxa"/>
            <w:noWrap w:val="0"/>
            <w:vAlign w:val="top"/>
          </w:tcPr>
          <w:p w14:paraId="53CB7700">
            <w:pPr>
              <w:rPr>
                <w:rFonts w:hint="eastAsia" w:ascii="宋体" w:hAnsi="宋体" w:eastAsia="宋体" w:cs="宋体"/>
                <w:color w:val="auto"/>
                <w:sz w:val="24"/>
                <w:szCs w:val="24"/>
              </w:rPr>
            </w:pPr>
          </w:p>
        </w:tc>
        <w:tc>
          <w:tcPr>
            <w:tcW w:w="4309" w:type="dxa"/>
            <w:noWrap w:val="0"/>
            <w:vAlign w:val="top"/>
          </w:tcPr>
          <w:p w14:paraId="2707E98B">
            <w:pPr>
              <w:rPr>
                <w:rFonts w:hint="eastAsia" w:ascii="宋体" w:hAnsi="宋体" w:eastAsia="宋体" w:cs="宋体"/>
                <w:color w:val="auto"/>
                <w:sz w:val="24"/>
                <w:szCs w:val="24"/>
              </w:rPr>
            </w:pPr>
          </w:p>
        </w:tc>
      </w:tr>
      <w:tr w14:paraId="35175D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 w:hRule="atLeast"/>
        </w:trPr>
        <w:tc>
          <w:tcPr>
            <w:tcW w:w="657" w:type="dxa"/>
            <w:vMerge w:val="continue"/>
            <w:tcBorders>
              <w:top w:val="nil"/>
            </w:tcBorders>
            <w:noWrap w:val="0"/>
            <w:vAlign w:val="center"/>
          </w:tcPr>
          <w:p w14:paraId="46F5BC28">
            <w:pPr>
              <w:jc w:val="center"/>
              <w:rPr>
                <w:rFonts w:hint="eastAsia" w:ascii="宋体" w:hAnsi="宋体" w:eastAsia="宋体" w:cs="宋体"/>
                <w:color w:val="auto"/>
                <w:sz w:val="24"/>
                <w:szCs w:val="24"/>
              </w:rPr>
            </w:pPr>
          </w:p>
        </w:tc>
        <w:tc>
          <w:tcPr>
            <w:tcW w:w="1988" w:type="dxa"/>
            <w:noWrap w:val="0"/>
            <w:vAlign w:val="top"/>
          </w:tcPr>
          <w:p w14:paraId="66DCDB8E">
            <w:pPr>
              <w:pStyle w:val="11"/>
              <w:spacing w:before="78" w:line="221" w:lineRule="auto"/>
              <w:ind w:left="82"/>
              <w:rPr>
                <w:rFonts w:hint="eastAsia" w:ascii="宋体" w:hAnsi="宋体" w:eastAsia="宋体" w:cs="宋体"/>
                <w:color w:val="auto"/>
                <w:sz w:val="24"/>
                <w:szCs w:val="24"/>
              </w:rPr>
            </w:pPr>
            <w:r>
              <w:rPr>
                <w:rFonts w:hint="eastAsia" w:ascii="宋体" w:hAnsi="宋体" w:eastAsia="宋体" w:cs="宋体"/>
                <w:color w:val="auto"/>
                <w:spacing w:val="-2"/>
                <w:sz w:val="24"/>
                <w:szCs w:val="24"/>
              </w:rPr>
              <w:t>垃圾清运工</w:t>
            </w:r>
          </w:p>
        </w:tc>
        <w:tc>
          <w:tcPr>
            <w:tcW w:w="767" w:type="dxa"/>
            <w:noWrap w:val="0"/>
            <w:vAlign w:val="top"/>
          </w:tcPr>
          <w:p w14:paraId="55360FBF">
            <w:pPr>
              <w:rPr>
                <w:rFonts w:hint="eastAsia" w:ascii="宋体" w:hAnsi="宋体" w:eastAsia="宋体" w:cs="宋体"/>
                <w:color w:val="auto"/>
                <w:sz w:val="24"/>
                <w:szCs w:val="24"/>
              </w:rPr>
            </w:pPr>
          </w:p>
        </w:tc>
        <w:tc>
          <w:tcPr>
            <w:tcW w:w="1323" w:type="dxa"/>
            <w:noWrap w:val="0"/>
            <w:vAlign w:val="top"/>
          </w:tcPr>
          <w:p w14:paraId="00E0AF3C">
            <w:pPr>
              <w:rPr>
                <w:rFonts w:hint="eastAsia" w:ascii="宋体" w:hAnsi="宋体" w:eastAsia="宋体" w:cs="宋体"/>
                <w:color w:val="auto"/>
                <w:sz w:val="24"/>
                <w:szCs w:val="24"/>
              </w:rPr>
            </w:pPr>
          </w:p>
        </w:tc>
        <w:tc>
          <w:tcPr>
            <w:tcW w:w="4309" w:type="dxa"/>
            <w:noWrap w:val="0"/>
            <w:vAlign w:val="top"/>
          </w:tcPr>
          <w:p w14:paraId="645B0EE1">
            <w:pPr>
              <w:rPr>
                <w:rFonts w:hint="eastAsia" w:ascii="宋体" w:hAnsi="宋体" w:eastAsia="宋体" w:cs="宋体"/>
                <w:color w:val="auto"/>
                <w:sz w:val="24"/>
                <w:szCs w:val="24"/>
              </w:rPr>
            </w:pPr>
          </w:p>
        </w:tc>
      </w:tr>
      <w:tr w14:paraId="41C93A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rPr>
        <w:tc>
          <w:tcPr>
            <w:tcW w:w="657" w:type="dxa"/>
            <w:noWrap w:val="0"/>
            <w:vAlign w:val="center"/>
          </w:tcPr>
          <w:p w14:paraId="3362B8E2">
            <w:pPr>
              <w:pStyle w:val="11"/>
              <w:spacing w:before="78" w:line="221" w:lineRule="auto"/>
              <w:ind w:left="85"/>
              <w:jc w:val="center"/>
              <w:rPr>
                <w:rFonts w:hint="eastAsia" w:ascii="宋体" w:hAnsi="宋体" w:eastAsia="宋体" w:cs="宋体"/>
                <w:color w:val="auto"/>
                <w:sz w:val="24"/>
                <w:szCs w:val="24"/>
              </w:rPr>
            </w:pPr>
            <w:r>
              <w:rPr>
                <w:rFonts w:hint="eastAsia" w:ascii="宋体" w:hAnsi="宋体" w:eastAsia="宋体" w:cs="宋体"/>
                <w:color w:val="auto"/>
                <w:spacing w:val="-2"/>
                <w:sz w:val="24"/>
                <w:szCs w:val="24"/>
              </w:rPr>
              <w:t>绿化服务</w:t>
            </w:r>
          </w:p>
        </w:tc>
        <w:tc>
          <w:tcPr>
            <w:tcW w:w="1988" w:type="dxa"/>
            <w:noWrap w:val="0"/>
            <w:vAlign w:val="top"/>
          </w:tcPr>
          <w:p w14:paraId="75B0565A">
            <w:pPr>
              <w:pStyle w:val="11"/>
              <w:spacing w:before="78" w:line="222" w:lineRule="auto"/>
              <w:ind w:left="82"/>
              <w:rPr>
                <w:rFonts w:hint="eastAsia" w:ascii="宋体" w:hAnsi="宋体" w:eastAsia="宋体" w:cs="宋体"/>
                <w:color w:val="auto"/>
                <w:sz w:val="24"/>
                <w:szCs w:val="24"/>
              </w:rPr>
            </w:pPr>
            <w:r>
              <w:rPr>
                <w:rFonts w:hint="eastAsia" w:ascii="宋体" w:hAnsi="宋体" w:eastAsia="宋体" w:cs="宋体"/>
                <w:color w:val="auto"/>
                <w:spacing w:val="-3"/>
                <w:sz w:val="24"/>
                <w:szCs w:val="24"/>
              </w:rPr>
              <w:t>绿化工</w:t>
            </w:r>
          </w:p>
        </w:tc>
        <w:tc>
          <w:tcPr>
            <w:tcW w:w="767" w:type="dxa"/>
            <w:noWrap w:val="0"/>
            <w:vAlign w:val="top"/>
          </w:tcPr>
          <w:p w14:paraId="533C6AA9">
            <w:pPr>
              <w:rPr>
                <w:rFonts w:hint="eastAsia" w:ascii="宋体" w:hAnsi="宋体" w:eastAsia="宋体" w:cs="宋体"/>
                <w:color w:val="auto"/>
                <w:sz w:val="24"/>
                <w:szCs w:val="24"/>
              </w:rPr>
            </w:pPr>
          </w:p>
        </w:tc>
        <w:tc>
          <w:tcPr>
            <w:tcW w:w="1323" w:type="dxa"/>
            <w:noWrap w:val="0"/>
            <w:vAlign w:val="top"/>
          </w:tcPr>
          <w:p w14:paraId="7865E65F">
            <w:pPr>
              <w:rPr>
                <w:rFonts w:hint="eastAsia" w:ascii="宋体" w:hAnsi="宋体" w:eastAsia="宋体" w:cs="宋体"/>
                <w:color w:val="auto"/>
                <w:sz w:val="24"/>
                <w:szCs w:val="24"/>
              </w:rPr>
            </w:pPr>
          </w:p>
        </w:tc>
        <w:tc>
          <w:tcPr>
            <w:tcW w:w="4309" w:type="dxa"/>
            <w:noWrap w:val="0"/>
            <w:vAlign w:val="top"/>
          </w:tcPr>
          <w:p w14:paraId="3DAC26CC">
            <w:pPr>
              <w:rPr>
                <w:rFonts w:hint="eastAsia" w:ascii="宋体" w:hAnsi="宋体" w:eastAsia="宋体" w:cs="宋体"/>
                <w:color w:val="auto"/>
                <w:sz w:val="24"/>
                <w:szCs w:val="24"/>
              </w:rPr>
            </w:pPr>
          </w:p>
        </w:tc>
      </w:tr>
      <w:tr w14:paraId="1C6DF0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rPr>
        <w:tc>
          <w:tcPr>
            <w:tcW w:w="657" w:type="dxa"/>
            <w:vMerge w:val="restart"/>
            <w:tcBorders>
              <w:bottom w:val="nil"/>
            </w:tcBorders>
            <w:noWrap w:val="0"/>
            <w:vAlign w:val="center"/>
          </w:tcPr>
          <w:p w14:paraId="6BC89C78">
            <w:pPr>
              <w:pStyle w:val="11"/>
              <w:spacing w:before="49" w:line="221" w:lineRule="auto"/>
              <w:jc w:val="center"/>
              <w:rPr>
                <w:rFonts w:hint="eastAsia" w:ascii="宋体" w:hAnsi="宋体" w:eastAsia="宋体" w:cs="宋体"/>
                <w:color w:val="auto"/>
                <w:sz w:val="24"/>
                <w:szCs w:val="24"/>
              </w:rPr>
            </w:pPr>
            <w:r>
              <w:rPr>
                <w:rFonts w:hint="eastAsia" w:cs="宋体"/>
                <w:color w:val="auto"/>
                <w:spacing w:val="-2"/>
                <w:sz w:val="24"/>
                <w:szCs w:val="24"/>
                <w:lang w:val="en-US" w:eastAsia="zh-CN"/>
              </w:rPr>
              <w:t>秩序维护</w:t>
            </w:r>
            <w:r>
              <w:rPr>
                <w:rFonts w:hint="eastAsia" w:ascii="宋体" w:hAnsi="宋体" w:eastAsia="宋体" w:cs="宋体"/>
                <w:color w:val="auto"/>
                <w:spacing w:val="-2"/>
                <w:sz w:val="24"/>
                <w:szCs w:val="24"/>
              </w:rPr>
              <w:t>服务</w:t>
            </w:r>
          </w:p>
        </w:tc>
        <w:tc>
          <w:tcPr>
            <w:tcW w:w="1988" w:type="dxa"/>
            <w:noWrap w:val="0"/>
            <w:vAlign w:val="top"/>
          </w:tcPr>
          <w:p w14:paraId="7064DBE6">
            <w:pPr>
              <w:pStyle w:val="11"/>
              <w:spacing w:before="78" w:line="221" w:lineRule="auto"/>
              <w:ind w:left="82"/>
              <w:rPr>
                <w:rFonts w:hint="eastAsia" w:ascii="宋体" w:hAnsi="宋体" w:eastAsia="宋体" w:cs="宋体"/>
                <w:color w:val="auto"/>
                <w:sz w:val="24"/>
                <w:szCs w:val="24"/>
              </w:rPr>
            </w:pPr>
            <w:r>
              <w:rPr>
                <w:rFonts w:hint="eastAsia" w:ascii="宋体" w:hAnsi="宋体" w:eastAsia="宋体" w:cs="宋体"/>
                <w:color w:val="auto"/>
                <w:spacing w:val="-4"/>
                <w:sz w:val="24"/>
                <w:szCs w:val="24"/>
              </w:rPr>
              <w:t>主管</w:t>
            </w:r>
          </w:p>
        </w:tc>
        <w:tc>
          <w:tcPr>
            <w:tcW w:w="767" w:type="dxa"/>
            <w:noWrap w:val="0"/>
            <w:vAlign w:val="top"/>
          </w:tcPr>
          <w:p w14:paraId="1EB9312E">
            <w:pPr>
              <w:rPr>
                <w:rFonts w:hint="eastAsia" w:ascii="宋体" w:hAnsi="宋体" w:eastAsia="宋体" w:cs="宋体"/>
                <w:color w:val="auto"/>
                <w:sz w:val="24"/>
                <w:szCs w:val="24"/>
              </w:rPr>
            </w:pPr>
          </w:p>
        </w:tc>
        <w:tc>
          <w:tcPr>
            <w:tcW w:w="1323" w:type="dxa"/>
            <w:noWrap w:val="0"/>
            <w:vAlign w:val="top"/>
          </w:tcPr>
          <w:p w14:paraId="4DF90BB2">
            <w:pPr>
              <w:rPr>
                <w:rFonts w:hint="eastAsia" w:ascii="宋体" w:hAnsi="宋体" w:eastAsia="宋体" w:cs="宋体"/>
                <w:color w:val="auto"/>
                <w:sz w:val="24"/>
                <w:szCs w:val="24"/>
              </w:rPr>
            </w:pPr>
          </w:p>
        </w:tc>
        <w:tc>
          <w:tcPr>
            <w:tcW w:w="4309" w:type="dxa"/>
            <w:noWrap w:val="0"/>
            <w:vAlign w:val="top"/>
          </w:tcPr>
          <w:p w14:paraId="46476491">
            <w:pPr>
              <w:rPr>
                <w:rFonts w:hint="eastAsia" w:ascii="宋体" w:hAnsi="宋体" w:eastAsia="宋体" w:cs="宋体"/>
                <w:color w:val="auto"/>
                <w:sz w:val="24"/>
                <w:szCs w:val="24"/>
              </w:rPr>
            </w:pPr>
          </w:p>
        </w:tc>
      </w:tr>
      <w:tr w14:paraId="3133C3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 w:hRule="atLeast"/>
        </w:trPr>
        <w:tc>
          <w:tcPr>
            <w:tcW w:w="657" w:type="dxa"/>
            <w:vMerge w:val="continue"/>
            <w:tcBorders>
              <w:top w:val="nil"/>
              <w:bottom w:val="nil"/>
            </w:tcBorders>
            <w:noWrap w:val="0"/>
            <w:vAlign w:val="center"/>
          </w:tcPr>
          <w:p w14:paraId="2F1F3F9D">
            <w:pPr>
              <w:jc w:val="center"/>
              <w:rPr>
                <w:rFonts w:hint="eastAsia" w:ascii="宋体" w:hAnsi="宋体" w:eastAsia="宋体" w:cs="宋体"/>
                <w:color w:val="auto"/>
                <w:sz w:val="24"/>
                <w:szCs w:val="24"/>
              </w:rPr>
            </w:pPr>
          </w:p>
        </w:tc>
        <w:tc>
          <w:tcPr>
            <w:tcW w:w="1988" w:type="dxa"/>
            <w:noWrap w:val="0"/>
            <w:vAlign w:val="top"/>
          </w:tcPr>
          <w:p w14:paraId="0714534E">
            <w:pPr>
              <w:pStyle w:val="11"/>
              <w:spacing w:before="79" w:line="221" w:lineRule="auto"/>
              <w:ind w:left="81"/>
              <w:rPr>
                <w:rFonts w:hint="eastAsia" w:ascii="宋体" w:hAnsi="宋体" w:eastAsia="宋体" w:cs="宋体"/>
                <w:color w:val="auto"/>
                <w:sz w:val="24"/>
                <w:szCs w:val="24"/>
              </w:rPr>
            </w:pPr>
            <w:r>
              <w:rPr>
                <w:rFonts w:hint="eastAsia" w:ascii="宋体" w:hAnsi="宋体" w:eastAsia="宋体" w:cs="宋体"/>
                <w:color w:val="auto"/>
                <w:spacing w:val="-3"/>
                <w:sz w:val="24"/>
                <w:szCs w:val="24"/>
              </w:rPr>
              <w:t>领班</w:t>
            </w:r>
          </w:p>
        </w:tc>
        <w:tc>
          <w:tcPr>
            <w:tcW w:w="767" w:type="dxa"/>
            <w:noWrap w:val="0"/>
            <w:vAlign w:val="top"/>
          </w:tcPr>
          <w:p w14:paraId="768EF93D">
            <w:pPr>
              <w:rPr>
                <w:rFonts w:hint="eastAsia" w:ascii="宋体" w:hAnsi="宋体" w:eastAsia="宋体" w:cs="宋体"/>
                <w:color w:val="auto"/>
                <w:sz w:val="24"/>
                <w:szCs w:val="24"/>
              </w:rPr>
            </w:pPr>
          </w:p>
        </w:tc>
        <w:tc>
          <w:tcPr>
            <w:tcW w:w="1323" w:type="dxa"/>
            <w:noWrap w:val="0"/>
            <w:vAlign w:val="top"/>
          </w:tcPr>
          <w:p w14:paraId="6381CF35">
            <w:pPr>
              <w:rPr>
                <w:rFonts w:hint="eastAsia" w:ascii="宋体" w:hAnsi="宋体" w:eastAsia="宋体" w:cs="宋体"/>
                <w:color w:val="auto"/>
                <w:sz w:val="24"/>
                <w:szCs w:val="24"/>
              </w:rPr>
            </w:pPr>
          </w:p>
        </w:tc>
        <w:tc>
          <w:tcPr>
            <w:tcW w:w="4309" w:type="dxa"/>
            <w:noWrap w:val="0"/>
            <w:vAlign w:val="top"/>
          </w:tcPr>
          <w:p w14:paraId="161DC68B">
            <w:pPr>
              <w:pStyle w:val="11"/>
              <w:spacing w:before="79" w:line="221" w:lineRule="auto"/>
              <w:ind w:left="82"/>
              <w:rPr>
                <w:rFonts w:hint="eastAsia" w:ascii="宋体" w:hAnsi="宋体" w:eastAsia="宋体" w:cs="宋体"/>
                <w:color w:val="auto"/>
                <w:sz w:val="24"/>
                <w:szCs w:val="24"/>
              </w:rPr>
            </w:pPr>
            <w:r>
              <w:rPr>
                <w:rFonts w:hint="eastAsia" w:ascii="宋体" w:hAnsi="宋体" w:eastAsia="宋体" w:cs="宋体"/>
                <w:color w:val="auto"/>
                <w:spacing w:val="-2"/>
                <w:sz w:val="24"/>
                <w:szCs w:val="24"/>
              </w:rPr>
              <w:t>如：24小时</w:t>
            </w:r>
          </w:p>
        </w:tc>
      </w:tr>
      <w:tr w14:paraId="5BE53E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657" w:type="dxa"/>
            <w:vMerge w:val="continue"/>
            <w:tcBorders>
              <w:top w:val="nil"/>
              <w:bottom w:val="nil"/>
            </w:tcBorders>
            <w:noWrap w:val="0"/>
            <w:vAlign w:val="center"/>
          </w:tcPr>
          <w:p w14:paraId="10567F3C">
            <w:pPr>
              <w:jc w:val="center"/>
              <w:rPr>
                <w:rFonts w:hint="eastAsia" w:ascii="宋体" w:hAnsi="宋体" w:eastAsia="宋体" w:cs="宋体"/>
                <w:color w:val="auto"/>
                <w:sz w:val="24"/>
                <w:szCs w:val="24"/>
              </w:rPr>
            </w:pPr>
          </w:p>
        </w:tc>
        <w:tc>
          <w:tcPr>
            <w:tcW w:w="1988" w:type="dxa"/>
            <w:noWrap w:val="0"/>
            <w:vAlign w:val="top"/>
          </w:tcPr>
          <w:p w14:paraId="586536BF">
            <w:pPr>
              <w:pStyle w:val="11"/>
              <w:spacing w:before="101" w:line="221" w:lineRule="auto"/>
              <w:ind w:left="98"/>
              <w:rPr>
                <w:rFonts w:hint="eastAsia" w:ascii="宋体" w:hAnsi="宋体" w:eastAsia="宋体" w:cs="宋体"/>
                <w:color w:val="auto"/>
                <w:sz w:val="24"/>
                <w:szCs w:val="24"/>
              </w:rPr>
            </w:pPr>
            <w:r>
              <w:rPr>
                <w:rFonts w:hint="eastAsia" w:ascii="宋体" w:hAnsi="宋体" w:eastAsia="宋体" w:cs="宋体"/>
                <w:color w:val="auto"/>
                <w:spacing w:val="-11"/>
                <w:sz w:val="24"/>
                <w:szCs w:val="24"/>
              </w:rPr>
              <w:t>门岗</w:t>
            </w:r>
          </w:p>
        </w:tc>
        <w:tc>
          <w:tcPr>
            <w:tcW w:w="767" w:type="dxa"/>
            <w:noWrap w:val="0"/>
            <w:vAlign w:val="top"/>
          </w:tcPr>
          <w:p w14:paraId="3A872DD4">
            <w:pPr>
              <w:rPr>
                <w:rFonts w:hint="eastAsia" w:ascii="宋体" w:hAnsi="宋体" w:eastAsia="宋体" w:cs="宋体"/>
                <w:color w:val="auto"/>
                <w:sz w:val="24"/>
                <w:szCs w:val="24"/>
              </w:rPr>
            </w:pPr>
          </w:p>
        </w:tc>
        <w:tc>
          <w:tcPr>
            <w:tcW w:w="1323" w:type="dxa"/>
            <w:noWrap w:val="0"/>
            <w:vAlign w:val="top"/>
          </w:tcPr>
          <w:p w14:paraId="44E32CAD">
            <w:pPr>
              <w:rPr>
                <w:rFonts w:hint="eastAsia" w:ascii="宋体" w:hAnsi="宋体" w:eastAsia="宋体" w:cs="宋体"/>
                <w:color w:val="auto"/>
                <w:sz w:val="24"/>
                <w:szCs w:val="24"/>
              </w:rPr>
            </w:pPr>
          </w:p>
        </w:tc>
        <w:tc>
          <w:tcPr>
            <w:tcW w:w="4309" w:type="dxa"/>
            <w:noWrap w:val="0"/>
            <w:vAlign w:val="top"/>
          </w:tcPr>
          <w:p w14:paraId="7E57D809">
            <w:pPr>
              <w:pStyle w:val="11"/>
              <w:spacing w:before="15" w:line="217" w:lineRule="auto"/>
              <w:ind w:left="83" w:right="76" w:firstLine="13"/>
              <w:rPr>
                <w:rFonts w:hint="eastAsia" w:ascii="宋体" w:hAnsi="宋体" w:eastAsia="宋体" w:cs="宋体"/>
                <w:color w:val="auto"/>
                <w:sz w:val="24"/>
                <w:szCs w:val="24"/>
              </w:rPr>
            </w:pPr>
            <w:r>
              <w:rPr>
                <w:rFonts w:hint="eastAsia" w:ascii="宋体" w:hAnsi="宋体" w:eastAsia="宋体" w:cs="宋体"/>
                <w:color w:val="auto"/>
                <w:spacing w:val="-2"/>
                <w:sz w:val="24"/>
                <w:szCs w:val="24"/>
              </w:rPr>
              <w:t>如：包括但不限于保安员证</w:t>
            </w:r>
          </w:p>
        </w:tc>
      </w:tr>
      <w:tr w14:paraId="3C1705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657" w:type="dxa"/>
            <w:vMerge w:val="continue"/>
            <w:tcBorders>
              <w:top w:val="nil"/>
              <w:bottom w:val="nil"/>
            </w:tcBorders>
            <w:noWrap w:val="0"/>
            <w:vAlign w:val="center"/>
          </w:tcPr>
          <w:p w14:paraId="5158B834">
            <w:pPr>
              <w:jc w:val="center"/>
              <w:rPr>
                <w:rFonts w:hint="eastAsia" w:ascii="宋体" w:hAnsi="宋体" w:eastAsia="宋体" w:cs="宋体"/>
                <w:color w:val="auto"/>
                <w:sz w:val="24"/>
                <w:szCs w:val="24"/>
              </w:rPr>
            </w:pPr>
          </w:p>
        </w:tc>
        <w:tc>
          <w:tcPr>
            <w:tcW w:w="1988" w:type="dxa"/>
            <w:noWrap w:val="0"/>
            <w:vAlign w:val="top"/>
          </w:tcPr>
          <w:p w14:paraId="19724B4C">
            <w:pPr>
              <w:pStyle w:val="11"/>
              <w:spacing w:before="69" w:line="221" w:lineRule="auto"/>
              <w:ind w:left="84"/>
              <w:rPr>
                <w:rFonts w:hint="eastAsia" w:ascii="宋体" w:hAnsi="宋体" w:eastAsia="宋体" w:cs="宋体"/>
                <w:color w:val="auto"/>
                <w:sz w:val="24"/>
                <w:szCs w:val="24"/>
              </w:rPr>
            </w:pPr>
            <w:r>
              <w:rPr>
                <w:rFonts w:hint="eastAsia" w:ascii="宋体" w:hAnsi="宋体" w:eastAsia="宋体" w:cs="宋体"/>
                <w:color w:val="auto"/>
                <w:spacing w:val="-3"/>
                <w:sz w:val="24"/>
                <w:szCs w:val="24"/>
              </w:rPr>
              <w:t>消控岗</w:t>
            </w:r>
          </w:p>
        </w:tc>
        <w:tc>
          <w:tcPr>
            <w:tcW w:w="767" w:type="dxa"/>
            <w:noWrap w:val="0"/>
            <w:vAlign w:val="top"/>
          </w:tcPr>
          <w:p w14:paraId="2C4C494E">
            <w:pPr>
              <w:rPr>
                <w:rFonts w:hint="eastAsia" w:ascii="宋体" w:hAnsi="宋体" w:eastAsia="宋体" w:cs="宋体"/>
                <w:color w:val="auto"/>
                <w:sz w:val="24"/>
                <w:szCs w:val="24"/>
              </w:rPr>
            </w:pPr>
          </w:p>
        </w:tc>
        <w:tc>
          <w:tcPr>
            <w:tcW w:w="1323" w:type="dxa"/>
            <w:noWrap w:val="0"/>
            <w:vAlign w:val="top"/>
          </w:tcPr>
          <w:p w14:paraId="085C3338">
            <w:pPr>
              <w:rPr>
                <w:rFonts w:hint="eastAsia" w:ascii="宋体" w:hAnsi="宋体" w:eastAsia="宋体" w:cs="宋体"/>
                <w:color w:val="auto"/>
                <w:sz w:val="24"/>
                <w:szCs w:val="24"/>
              </w:rPr>
            </w:pPr>
          </w:p>
        </w:tc>
        <w:tc>
          <w:tcPr>
            <w:tcW w:w="4309" w:type="dxa"/>
            <w:noWrap w:val="0"/>
            <w:vAlign w:val="top"/>
          </w:tcPr>
          <w:p w14:paraId="050E70E2">
            <w:pPr>
              <w:pStyle w:val="11"/>
              <w:spacing w:before="69" w:line="221" w:lineRule="auto"/>
              <w:ind w:left="82"/>
              <w:rPr>
                <w:rFonts w:hint="eastAsia" w:ascii="宋体" w:hAnsi="宋体" w:eastAsia="宋体" w:cs="宋体"/>
                <w:color w:val="auto"/>
                <w:sz w:val="24"/>
                <w:szCs w:val="24"/>
              </w:rPr>
            </w:pPr>
            <w:r>
              <w:rPr>
                <w:rFonts w:hint="eastAsia" w:ascii="宋体" w:hAnsi="宋体" w:eastAsia="宋体" w:cs="宋体"/>
                <w:color w:val="auto"/>
                <w:spacing w:val="-2"/>
                <w:sz w:val="24"/>
                <w:szCs w:val="24"/>
              </w:rPr>
              <w:t>如：24小时</w:t>
            </w:r>
          </w:p>
        </w:tc>
      </w:tr>
      <w:tr w14:paraId="5B4F33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rPr>
        <w:tc>
          <w:tcPr>
            <w:tcW w:w="657" w:type="dxa"/>
            <w:vMerge w:val="continue"/>
            <w:tcBorders>
              <w:top w:val="nil"/>
              <w:bottom w:val="nil"/>
            </w:tcBorders>
            <w:noWrap w:val="0"/>
            <w:vAlign w:val="center"/>
          </w:tcPr>
          <w:p w14:paraId="40694DF6">
            <w:pPr>
              <w:jc w:val="center"/>
              <w:rPr>
                <w:rFonts w:hint="eastAsia" w:ascii="宋体" w:hAnsi="宋体" w:eastAsia="宋体" w:cs="宋体"/>
                <w:color w:val="auto"/>
                <w:sz w:val="24"/>
                <w:szCs w:val="24"/>
              </w:rPr>
            </w:pPr>
          </w:p>
        </w:tc>
        <w:tc>
          <w:tcPr>
            <w:tcW w:w="1988" w:type="dxa"/>
            <w:noWrap w:val="0"/>
            <w:vAlign w:val="top"/>
          </w:tcPr>
          <w:p w14:paraId="1B1DE737">
            <w:pPr>
              <w:pStyle w:val="11"/>
              <w:spacing w:before="79" w:line="221" w:lineRule="auto"/>
              <w:ind w:left="82"/>
              <w:rPr>
                <w:rFonts w:hint="eastAsia" w:ascii="宋体" w:hAnsi="宋体" w:eastAsia="宋体" w:cs="宋体"/>
                <w:color w:val="auto"/>
                <w:sz w:val="24"/>
                <w:szCs w:val="24"/>
              </w:rPr>
            </w:pPr>
            <w:r>
              <w:rPr>
                <w:rFonts w:hint="eastAsia" w:ascii="宋体" w:hAnsi="宋体" w:eastAsia="宋体" w:cs="宋体"/>
                <w:color w:val="auto"/>
                <w:spacing w:val="-2"/>
                <w:sz w:val="24"/>
                <w:szCs w:val="24"/>
              </w:rPr>
              <w:t>巡逻岗</w:t>
            </w:r>
          </w:p>
        </w:tc>
        <w:tc>
          <w:tcPr>
            <w:tcW w:w="767" w:type="dxa"/>
            <w:noWrap w:val="0"/>
            <w:vAlign w:val="top"/>
          </w:tcPr>
          <w:p w14:paraId="6BB107F5">
            <w:pPr>
              <w:rPr>
                <w:rFonts w:hint="eastAsia" w:ascii="宋体" w:hAnsi="宋体" w:eastAsia="宋体" w:cs="宋体"/>
                <w:color w:val="auto"/>
                <w:sz w:val="24"/>
                <w:szCs w:val="24"/>
              </w:rPr>
            </w:pPr>
          </w:p>
        </w:tc>
        <w:tc>
          <w:tcPr>
            <w:tcW w:w="1323" w:type="dxa"/>
            <w:noWrap w:val="0"/>
            <w:vAlign w:val="top"/>
          </w:tcPr>
          <w:p w14:paraId="4D28B9F9">
            <w:pPr>
              <w:rPr>
                <w:rFonts w:hint="eastAsia" w:ascii="宋体" w:hAnsi="宋体" w:eastAsia="宋体" w:cs="宋体"/>
                <w:color w:val="auto"/>
                <w:sz w:val="24"/>
                <w:szCs w:val="24"/>
              </w:rPr>
            </w:pPr>
          </w:p>
        </w:tc>
        <w:tc>
          <w:tcPr>
            <w:tcW w:w="4309" w:type="dxa"/>
            <w:noWrap w:val="0"/>
            <w:vAlign w:val="top"/>
          </w:tcPr>
          <w:p w14:paraId="7BDCD693">
            <w:pPr>
              <w:rPr>
                <w:rFonts w:hint="eastAsia" w:ascii="宋体" w:hAnsi="宋体" w:eastAsia="宋体" w:cs="宋体"/>
                <w:color w:val="auto"/>
                <w:sz w:val="24"/>
                <w:szCs w:val="24"/>
              </w:rPr>
            </w:pPr>
          </w:p>
        </w:tc>
      </w:tr>
      <w:tr w14:paraId="30279E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rPr>
        <w:tc>
          <w:tcPr>
            <w:tcW w:w="657" w:type="dxa"/>
            <w:vMerge w:val="continue"/>
            <w:tcBorders>
              <w:top w:val="nil"/>
              <w:bottom w:val="nil"/>
            </w:tcBorders>
            <w:noWrap w:val="0"/>
            <w:vAlign w:val="center"/>
          </w:tcPr>
          <w:p w14:paraId="62BD5731">
            <w:pPr>
              <w:jc w:val="center"/>
              <w:rPr>
                <w:rFonts w:hint="eastAsia" w:ascii="宋体" w:hAnsi="宋体" w:eastAsia="宋体" w:cs="宋体"/>
                <w:color w:val="auto"/>
                <w:sz w:val="24"/>
                <w:szCs w:val="24"/>
              </w:rPr>
            </w:pPr>
          </w:p>
        </w:tc>
        <w:tc>
          <w:tcPr>
            <w:tcW w:w="1988" w:type="dxa"/>
            <w:noWrap w:val="0"/>
            <w:vAlign w:val="top"/>
          </w:tcPr>
          <w:p w14:paraId="1793EF79">
            <w:pPr>
              <w:pStyle w:val="11"/>
              <w:spacing w:before="79" w:line="221" w:lineRule="auto"/>
              <w:ind w:left="82"/>
              <w:rPr>
                <w:rFonts w:hint="eastAsia" w:ascii="宋体" w:hAnsi="宋体" w:eastAsia="宋体" w:cs="宋体"/>
                <w:color w:val="auto"/>
                <w:sz w:val="24"/>
                <w:szCs w:val="24"/>
              </w:rPr>
            </w:pPr>
            <w:r>
              <w:rPr>
                <w:rFonts w:hint="eastAsia" w:ascii="宋体" w:hAnsi="宋体" w:eastAsia="宋体" w:cs="宋体"/>
                <w:color w:val="auto"/>
                <w:spacing w:val="-3"/>
                <w:sz w:val="24"/>
                <w:szCs w:val="24"/>
              </w:rPr>
              <w:t>车管岗</w:t>
            </w:r>
          </w:p>
        </w:tc>
        <w:tc>
          <w:tcPr>
            <w:tcW w:w="767" w:type="dxa"/>
            <w:noWrap w:val="0"/>
            <w:vAlign w:val="top"/>
          </w:tcPr>
          <w:p w14:paraId="6E4B5875">
            <w:pPr>
              <w:rPr>
                <w:rFonts w:hint="eastAsia" w:ascii="宋体" w:hAnsi="宋体" w:eastAsia="宋体" w:cs="宋体"/>
                <w:color w:val="auto"/>
                <w:sz w:val="24"/>
                <w:szCs w:val="24"/>
              </w:rPr>
            </w:pPr>
          </w:p>
        </w:tc>
        <w:tc>
          <w:tcPr>
            <w:tcW w:w="1323" w:type="dxa"/>
            <w:noWrap w:val="0"/>
            <w:vAlign w:val="top"/>
          </w:tcPr>
          <w:p w14:paraId="171831FB">
            <w:pPr>
              <w:rPr>
                <w:rFonts w:hint="eastAsia" w:ascii="宋体" w:hAnsi="宋体" w:eastAsia="宋体" w:cs="宋体"/>
                <w:color w:val="auto"/>
                <w:sz w:val="24"/>
                <w:szCs w:val="24"/>
              </w:rPr>
            </w:pPr>
          </w:p>
        </w:tc>
        <w:tc>
          <w:tcPr>
            <w:tcW w:w="4309" w:type="dxa"/>
            <w:noWrap w:val="0"/>
            <w:vAlign w:val="top"/>
          </w:tcPr>
          <w:p w14:paraId="1313F387">
            <w:pPr>
              <w:rPr>
                <w:rFonts w:hint="eastAsia" w:ascii="宋体" w:hAnsi="宋体" w:eastAsia="宋体" w:cs="宋体"/>
                <w:color w:val="auto"/>
                <w:sz w:val="24"/>
                <w:szCs w:val="24"/>
              </w:rPr>
            </w:pPr>
          </w:p>
        </w:tc>
      </w:tr>
      <w:tr w14:paraId="0166D2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 w:hRule="atLeast"/>
        </w:trPr>
        <w:tc>
          <w:tcPr>
            <w:tcW w:w="657" w:type="dxa"/>
            <w:vMerge w:val="continue"/>
            <w:tcBorders>
              <w:top w:val="nil"/>
            </w:tcBorders>
            <w:noWrap w:val="0"/>
            <w:vAlign w:val="center"/>
          </w:tcPr>
          <w:p w14:paraId="6C08996F">
            <w:pPr>
              <w:jc w:val="center"/>
              <w:rPr>
                <w:rFonts w:hint="eastAsia" w:ascii="宋体" w:hAnsi="宋体" w:eastAsia="宋体" w:cs="宋体"/>
                <w:color w:val="auto"/>
                <w:sz w:val="24"/>
                <w:szCs w:val="24"/>
              </w:rPr>
            </w:pPr>
          </w:p>
        </w:tc>
        <w:tc>
          <w:tcPr>
            <w:tcW w:w="1988" w:type="dxa"/>
            <w:noWrap w:val="0"/>
            <w:vAlign w:val="top"/>
          </w:tcPr>
          <w:p w14:paraId="0CC06105">
            <w:pPr>
              <w:spacing w:before="194" w:line="56" w:lineRule="exact"/>
              <w:ind w:left="86"/>
              <w:rPr>
                <w:rFonts w:hint="eastAsia" w:ascii="宋体" w:hAnsi="宋体" w:eastAsia="宋体" w:cs="宋体"/>
                <w:color w:val="auto"/>
                <w:sz w:val="24"/>
                <w:szCs w:val="24"/>
              </w:rPr>
            </w:pPr>
            <w:r>
              <w:rPr>
                <w:rFonts w:hint="eastAsia" w:ascii="宋体" w:hAnsi="宋体" w:eastAsia="宋体" w:cs="宋体"/>
                <w:color w:val="auto"/>
                <w:spacing w:val="-1"/>
                <w:position w:val="-1"/>
                <w:sz w:val="24"/>
                <w:szCs w:val="24"/>
              </w:rPr>
              <w:t>……</w:t>
            </w:r>
          </w:p>
        </w:tc>
        <w:tc>
          <w:tcPr>
            <w:tcW w:w="767" w:type="dxa"/>
            <w:noWrap w:val="0"/>
            <w:vAlign w:val="top"/>
          </w:tcPr>
          <w:p w14:paraId="4794ADCA">
            <w:pPr>
              <w:rPr>
                <w:rFonts w:hint="eastAsia" w:ascii="宋体" w:hAnsi="宋体" w:eastAsia="宋体" w:cs="宋体"/>
                <w:color w:val="auto"/>
                <w:sz w:val="24"/>
                <w:szCs w:val="24"/>
              </w:rPr>
            </w:pPr>
          </w:p>
        </w:tc>
        <w:tc>
          <w:tcPr>
            <w:tcW w:w="1323" w:type="dxa"/>
            <w:noWrap w:val="0"/>
            <w:vAlign w:val="top"/>
          </w:tcPr>
          <w:p w14:paraId="1F12BF83">
            <w:pPr>
              <w:rPr>
                <w:rFonts w:hint="eastAsia" w:ascii="宋体" w:hAnsi="宋体" w:eastAsia="宋体" w:cs="宋体"/>
                <w:color w:val="auto"/>
                <w:sz w:val="24"/>
                <w:szCs w:val="24"/>
              </w:rPr>
            </w:pPr>
          </w:p>
        </w:tc>
        <w:tc>
          <w:tcPr>
            <w:tcW w:w="4309" w:type="dxa"/>
            <w:noWrap w:val="0"/>
            <w:vAlign w:val="top"/>
          </w:tcPr>
          <w:p w14:paraId="0E8DDD8C">
            <w:pPr>
              <w:rPr>
                <w:rFonts w:hint="eastAsia" w:ascii="宋体" w:hAnsi="宋体" w:eastAsia="宋体" w:cs="宋体"/>
                <w:color w:val="auto"/>
                <w:sz w:val="24"/>
                <w:szCs w:val="24"/>
              </w:rPr>
            </w:pPr>
          </w:p>
        </w:tc>
      </w:tr>
      <w:tr w14:paraId="5D69C4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3" w:hRule="atLeast"/>
        </w:trPr>
        <w:tc>
          <w:tcPr>
            <w:tcW w:w="657" w:type="dxa"/>
            <w:noWrap w:val="0"/>
            <w:vAlign w:val="center"/>
          </w:tcPr>
          <w:p w14:paraId="48AEA191">
            <w:pPr>
              <w:pStyle w:val="11"/>
              <w:spacing w:before="70" w:line="220" w:lineRule="auto"/>
              <w:ind w:left="83"/>
              <w:jc w:val="center"/>
              <w:rPr>
                <w:rFonts w:hint="eastAsia" w:ascii="宋体" w:hAnsi="宋体" w:eastAsia="宋体" w:cs="宋体"/>
                <w:color w:val="auto"/>
                <w:sz w:val="24"/>
                <w:szCs w:val="24"/>
              </w:rPr>
            </w:pPr>
            <w:r>
              <w:rPr>
                <w:rFonts w:hint="eastAsia" w:ascii="宋体" w:hAnsi="宋体" w:eastAsia="宋体" w:cs="宋体"/>
                <w:color w:val="auto"/>
                <w:spacing w:val="-2"/>
                <w:sz w:val="24"/>
                <w:szCs w:val="24"/>
              </w:rPr>
              <w:t>会议服务</w:t>
            </w:r>
          </w:p>
        </w:tc>
        <w:tc>
          <w:tcPr>
            <w:tcW w:w="1988" w:type="dxa"/>
            <w:noWrap w:val="0"/>
            <w:vAlign w:val="top"/>
          </w:tcPr>
          <w:p w14:paraId="7517E89A">
            <w:pPr>
              <w:pStyle w:val="11"/>
              <w:spacing w:before="70" w:line="220" w:lineRule="auto"/>
              <w:ind w:left="81"/>
              <w:rPr>
                <w:rFonts w:hint="eastAsia" w:ascii="宋体" w:hAnsi="宋体" w:eastAsia="宋体" w:cs="宋体"/>
                <w:color w:val="auto"/>
                <w:sz w:val="24"/>
                <w:szCs w:val="24"/>
              </w:rPr>
            </w:pPr>
            <w:r>
              <w:rPr>
                <w:rFonts w:hint="eastAsia" w:ascii="宋体" w:hAnsi="宋体" w:eastAsia="宋体" w:cs="宋体"/>
                <w:color w:val="auto"/>
                <w:spacing w:val="-3"/>
                <w:sz w:val="24"/>
                <w:szCs w:val="24"/>
              </w:rPr>
              <w:t>会务</w:t>
            </w:r>
          </w:p>
        </w:tc>
        <w:tc>
          <w:tcPr>
            <w:tcW w:w="767" w:type="dxa"/>
            <w:noWrap w:val="0"/>
            <w:vAlign w:val="top"/>
          </w:tcPr>
          <w:p w14:paraId="1441DEA5">
            <w:pPr>
              <w:rPr>
                <w:rFonts w:hint="eastAsia" w:ascii="宋体" w:hAnsi="宋体" w:eastAsia="宋体" w:cs="宋体"/>
                <w:color w:val="auto"/>
                <w:sz w:val="24"/>
                <w:szCs w:val="24"/>
              </w:rPr>
            </w:pPr>
          </w:p>
        </w:tc>
        <w:tc>
          <w:tcPr>
            <w:tcW w:w="1323" w:type="dxa"/>
            <w:noWrap w:val="0"/>
            <w:vAlign w:val="top"/>
          </w:tcPr>
          <w:p w14:paraId="29768A68">
            <w:pPr>
              <w:rPr>
                <w:rFonts w:hint="eastAsia" w:ascii="宋体" w:hAnsi="宋体" w:eastAsia="宋体" w:cs="宋体"/>
                <w:color w:val="auto"/>
                <w:sz w:val="24"/>
                <w:szCs w:val="24"/>
              </w:rPr>
            </w:pPr>
          </w:p>
        </w:tc>
        <w:tc>
          <w:tcPr>
            <w:tcW w:w="4309" w:type="dxa"/>
            <w:noWrap w:val="0"/>
            <w:vAlign w:val="top"/>
          </w:tcPr>
          <w:p w14:paraId="3442CC7C">
            <w:pPr>
              <w:pStyle w:val="11"/>
              <w:spacing w:before="70" w:line="221" w:lineRule="auto"/>
              <w:ind w:left="82"/>
              <w:rPr>
                <w:rFonts w:hint="eastAsia" w:ascii="宋体" w:hAnsi="宋体" w:eastAsia="宋体" w:cs="宋体"/>
                <w:color w:val="auto"/>
                <w:sz w:val="24"/>
                <w:szCs w:val="24"/>
              </w:rPr>
            </w:pPr>
            <w:r>
              <w:rPr>
                <w:rFonts w:hint="eastAsia" w:ascii="宋体" w:hAnsi="宋体" w:eastAsia="宋体" w:cs="宋体"/>
                <w:color w:val="auto"/>
                <w:spacing w:val="-2"/>
                <w:sz w:val="24"/>
                <w:szCs w:val="24"/>
              </w:rPr>
              <w:t>如：08：00-17：00</w:t>
            </w:r>
          </w:p>
        </w:tc>
      </w:tr>
    </w:tbl>
    <w:p w14:paraId="197E1735">
      <w:pPr>
        <w:spacing w:before="10" w:line="221" w:lineRule="auto"/>
        <w:rPr>
          <w:rFonts w:hint="eastAsia" w:ascii="黑体" w:hAnsi="黑体" w:eastAsia="黑体" w:cs="宋体"/>
          <w:b w:val="0"/>
          <w:color w:val="000000"/>
          <w:sz w:val="24"/>
          <w:szCs w:val="24"/>
        </w:rPr>
      </w:pPr>
      <w:r>
        <w:rPr>
          <w:rFonts w:hint="eastAsia" w:ascii="宋体" w:hAnsi="宋体" w:eastAsia="宋体" w:cs="宋体"/>
          <w:b/>
          <w:bCs/>
          <w:color w:val="auto"/>
          <w:spacing w:val="-1"/>
          <w:sz w:val="21"/>
          <w:szCs w:val="21"/>
        </w:rPr>
        <w:t>注：供应商应当按国家相关法律法规，合理确定服务人员工资标准、工作时间等。供应商应当自行为服务人员办理必需的保险，有关人员伤亡及第三者责任险均应当考虑在报价因素中。</w:t>
      </w:r>
    </w:p>
    <w:p w14:paraId="4ACF3121">
      <w:pPr>
        <w:pStyle w:val="5"/>
        <w:numPr>
          <w:ilvl w:val="0"/>
          <w:numId w:val="3"/>
        </w:numPr>
        <w:spacing w:before="0" w:after="0" w:line="360" w:lineRule="auto"/>
        <w:ind w:firstLine="480"/>
        <w:jc w:val="left"/>
        <w:rPr>
          <w:rFonts w:hint="eastAsia" w:ascii="黑体" w:hAnsi="黑体" w:eastAsia="黑体" w:cs="宋体"/>
          <w:b w:val="0"/>
          <w:color w:val="000000"/>
          <w:sz w:val="24"/>
          <w:szCs w:val="24"/>
          <w:lang w:val="en-US" w:eastAsia="zh-CN"/>
        </w:rPr>
      </w:pPr>
      <w:r>
        <w:rPr>
          <w:rFonts w:hint="eastAsia" w:ascii="黑体" w:hAnsi="黑体" w:eastAsia="黑体" w:cs="宋体"/>
          <w:b w:val="0"/>
          <w:color w:val="000000"/>
          <w:sz w:val="24"/>
          <w:szCs w:val="24"/>
          <w:lang w:val="en-US" w:eastAsia="zh-CN"/>
        </w:rPr>
        <w:t>考核标准及考核办法</w:t>
      </w:r>
    </w:p>
    <w:p w14:paraId="3579B08D">
      <w:pPr>
        <w:pStyle w:val="7"/>
        <w:numPr>
          <w:ilvl w:val="0"/>
          <w:numId w:val="0"/>
        </w:numPr>
        <w:spacing w:before="36" w:line="221" w:lineRule="auto"/>
        <w:ind w:left="0" w:firstLine="482"/>
        <w:rPr>
          <w:rFonts w:hint="default" w:ascii="宋体" w:hAnsi="宋体" w:eastAsia="宋体" w:cs="Times New Roman"/>
          <w:b/>
          <w:bCs/>
          <w:sz w:val="24"/>
          <w:szCs w:val="24"/>
          <w:lang w:val="en-US" w:eastAsia="zh-CN" w:bidi="ar-SA"/>
        </w:rPr>
      </w:pPr>
      <w:r>
        <w:rPr>
          <w:rFonts w:hint="eastAsia" w:ascii="宋体" w:hAnsi="宋体" w:eastAsia="宋体" w:cs="Times New Roman"/>
          <w:b/>
          <w:bCs/>
          <w:sz w:val="24"/>
          <w:szCs w:val="24"/>
          <w:lang w:val="en-US" w:eastAsia="zh-CN" w:bidi="ar-SA"/>
        </w:rPr>
        <w:t>1.考核标准</w:t>
      </w:r>
    </w:p>
    <w:tbl>
      <w:tblPr>
        <w:tblStyle w:val="8"/>
        <w:tblW w:w="8698" w:type="dxa"/>
        <w:tblInd w:w="95" w:type="dxa"/>
        <w:tblLayout w:type="fixed"/>
        <w:tblCellMar>
          <w:top w:w="0" w:type="dxa"/>
          <w:left w:w="108" w:type="dxa"/>
          <w:bottom w:w="0" w:type="dxa"/>
          <w:right w:w="108" w:type="dxa"/>
        </w:tblCellMar>
      </w:tblPr>
      <w:tblGrid>
        <w:gridCol w:w="998"/>
        <w:gridCol w:w="4616"/>
        <w:gridCol w:w="1767"/>
        <w:gridCol w:w="1317"/>
      </w:tblGrid>
      <w:tr w14:paraId="50A18736">
        <w:tblPrEx>
          <w:tblCellMar>
            <w:top w:w="0" w:type="dxa"/>
            <w:left w:w="108" w:type="dxa"/>
            <w:bottom w:w="0" w:type="dxa"/>
            <w:right w:w="108" w:type="dxa"/>
          </w:tblCellMar>
        </w:tblPrEx>
        <w:trPr>
          <w:trHeight w:val="204" w:hRule="atLeast"/>
        </w:trPr>
        <w:tc>
          <w:tcPr>
            <w:tcW w:w="5614" w:type="dxa"/>
            <w:gridSpan w:val="2"/>
            <w:tcBorders>
              <w:top w:val="single" w:color="auto" w:sz="4" w:space="0"/>
              <w:left w:val="single" w:color="auto" w:sz="4" w:space="0"/>
              <w:bottom w:val="single" w:color="auto" w:sz="4" w:space="0"/>
              <w:right w:val="single" w:color="000000" w:sz="4" w:space="0"/>
            </w:tcBorders>
            <w:noWrap w:val="0"/>
            <w:vAlign w:val="center"/>
          </w:tcPr>
          <w:p w14:paraId="2EB57A6E">
            <w:pPr>
              <w:widowControl/>
              <w:jc w:val="center"/>
              <w:rPr>
                <w:rFonts w:ascii="宋体" w:hAnsi="宋体" w:cs="宋体"/>
                <w:color w:val="auto"/>
                <w:sz w:val="24"/>
                <w:szCs w:val="24"/>
                <w:highlight w:val="none"/>
              </w:rPr>
            </w:pPr>
            <w:r>
              <w:rPr>
                <w:rFonts w:hint="eastAsia" w:ascii="宋体" w:hAnsi="宋体" w:cs="宋体"/>
                <w:color w:val="auto"/>
                <w:sz w:val="24"/>
                <w:szCs w:val="24"/>
                <w:highlight w:val="none"/>
              </w:rPr>
              <w:t>考核项目及内容</w:t>
            </w:r>
          </w:p>
        </w:tc>
        <w:tc>
          <w:tcPr>
            <w:tcW w:w="1767" w:type="dxa"/>
            <w:tcBorders>
              <w:top w:val="single" w:color="auto" w:sz="4" w:space="0"/>
              <w:left w:val="nil"/>
              <w:bottom w:val="single" w:color="auto" w:sz="4" w:space="0"/>
              <w:right w:val="single" w:color="auto" w:sz="4" w:space="0"/>
            </w:tcBorders>
            <w:noWrap w:val="0"/>
            <w:vAlign w:val="center"/>
          </w:tcPr>
          <w:p w14:paraId="10F978BC">
            <w:pPr>
              <w:widowControl/>
              <w:jc w:val="center"/>
              <w:rPr>
                <w:rFonts w:ascii="宋体" w:hAnsi="宋体" w:cs="宋体"/>
                <w:color w:val="auto"/>
                <w:sz w:val="24"/>
                <w:szCs w:val="24"/>
                <w:highlight w:val="none"/>
              </w:rPr>
            </w:pPr>
            <w:r>
              <w:rPr>
                <w:rFonts w:hint="eastAsia" w:ascii="宋体" w:hAnsi="宋体" w:cs="宋体"/>
                <w:color w:val="auto"/>
                <w:sz w:val="24"/>
                <w:szCs w:val="24"/>
                <w:highlight w:val="none"/>
              </w:rPr>
              <w:t>评分标准</w:t>
            </w:r>
          </w:p>
        </w:tc>
        <w:tc>
          <w:tcPr>
            <w:tcW w:w="1317" w:type="dxa"/>
            <w:tcBorders>
              <w:top w:val="single" w:color="auto" w:sz="4" w:space="0"/>
              <w:left w:val="nil"/>
              <w:bottom w:val="single" w:color="auto" w:sz="4" w:space="0"/>
              <w:right w:val="single" w:color="auto" w:sz="4" w:space="0"/>
            </w:tcBorders>
            <w:noWrap w:val="0"/>
            <w:vAlign w:val="center"/>
          </w:tcPr>
          <w:p w14:paraId="50850964">
            <w:pPr>
              <w:widowControl/>
              <w:jc w:val="center"/>
              <w:rPr>
                <w:rFonts w:ascii="宋体" w:hAnsi="宋体" w:cs="宋体"/>
                <w:color w:val="auto"/>
                <w:sz w:val="24"/>
                <w:szCs w:val="24"/>
                <w:highlight w:val="none"/>
              </w:rPr>
            </w:pPr>
            <w:r>
              <w:rPr>
                <w:rFonts w:hint="eastAsia" w:ascii="宋体" w:hAnsi="宋体" w:cs="宋体"/>
                <w:color w:val="auto"/>
                <w:sz w:val="24"/>
                <w:szCs w:val="24"/>
                <w:highlight w:val="none"/>
              </w:rPr>
              <w:t>备注</w:t>
            </w:r>
          </w:p>
        </w:tc>
      </w:tr>
      <w:tr w14:paraId="25F41989">
        <w:tblPrEx>
          <w:tblCellMar>
            <w:top w:w="0" w:type="dxa"/>
            <w:left w:w="108" w:type="dxa"/>
            <w:bottom w:w="0" w:type="dxa"/>
            <w:right w:w="108" w:type="dxa"/>
          </w:tblCellMar>
        </w:tblPrEx>
        <w:trPr>
          <w:trHeight w:val="278" w:hRule="atLeast"/>
        </w:trPr>
        <w:tc>
          <w:tcPr>
            <w:tcW w:w="8698" w:type="dxa"/>
            <w:gridSpan w:val="4"/>
            <w:tcBorders>
              <w:top w:val="single" w:color="auto" w:sz="4" w:space="0"/>
              <w:left w:val="single" w:color="auto" w:sz="4" w:space="0"/>
              <w:bottom w:val="single" w:color="auto" w:sz="4" w:space="0"/>
              <w:right w:val="single" w:color="000000" w:sz="4" w:space="0"/>
            </w:tcBorders>
            <w:noWrap w:val="0"/>
            <w:vAlign w:val="center"/>
          </w:tcPr>
          <w:p w14:paraId="735ACFEE">
            <w:pPr>
              <w:widowControl/>
              <w:jc w:val="left"/>
              <w:rPr>
                <w:rFonts w:ascii="宋体" w:hAnsi="宋体" w:cs="宋体"/>
                <w:b/>
                <w:bCs/>
                <w:color w:val="auto"/>
                <w:sz w:val="24"/>
                <w:szCs w:val="24"/>
                <w:highlight w:val="none"/>
              </w:rPr>
            </w:pPr>
            <w:r>
              <w:rPr>
                <w:rFonts w:hint="eastAsia" w:ascii="宋体" w:hAnsi="宋体" w:cs="宋体"/>
                <w:b/>
                <w:bCs/>
                <w:color w:val="auto"/>
                <w:sz w:val="24"/>
                <w:szCs w:val="24"/>
                <w:highlight w:val="none"/>
              </w:rPr>
              <w:t>一、综合管理(</w:t>
            </w:r>
            <w:r>
              <w:rPr>
                <w:rFonts w:hint="eastAsia" w:ascii="宋体" w:hAnsi="宋体" w:cs="宋体"/>
                <w:b/>
                <w:bCs/>
                <w:color w:val="auto"/>
                <w:sz w:val="24"/>
                <w:szCs w:val="24"/>
                <w:highlight w:val="none"/>
                <w:lang w:val="en-US" w:eastAsia="zh-CN"/>
              </w:rPr>
              <w:t>xx</w:t>
            </w:r>
            <w:r>
              <w:rPr>
                <w:rFonts w:hint="eastAsia" w:ascii="宋体" w:hAnsi="宋体" w:cs="宋体"/>
                <w:b/>
                <w:bCs/>
                <w:color w:val="auto"/>
                <w:sz w:val="24"/>
                <w:szCs w:val="24"/>
                <w:highlight w:val="none"/>
              </w:rPr>
              <w:t>分)</w:t>
            </w:r>
          </w:p>
        </w:tc>
      </w:tr>
      <w:tr w14:paraId="502E8683">
        <w:tblPrEx>
          <w:tblCellMar>
            <w:top w:w="0" w:type="dxa"/>
            <w:left w:w="108" w:type="dxa"/>
            <w:bottom w:w="0" w:type="dxa"/>
            <w:right w:w="108" w:type="dxa"/>
          </w:tblCellMar>
        </w:tblPrEx>
        <w:trPr>
          <w:trHeight w:val="278" w:hRule="atLeast"/>
        </w:trPr>
        <w:tc>
          <w:tcPr>
            <w:tcW w:w="998" w:type="dxa"/>
            <w:tcBorders>
              <w:top w:val="nil"/>
              <w:left w:val="single" w:color="auto" w:sz="4" w:space="0"/>
              <w:bottom w:val="single" w:color="auto" w:sz="4" w:space="0"/>
              <w:right w:val="single" w:color="auto" w:sz="4" w:space="0"/>
            </w:tcBorders>
            <w:noWrap w:val="0"/>
            <w:vAlign w:val="center"/>
          </w:tcPr>
          <w:p w14:paraId="138A110D">
            <w:pPr>
              <w:widowControl/>
              <w:jc w:val="center"/>
              <w:rPr>
                <w:rFonts w:hint="eastAsia" w:ascii="宋体" w:hAnsi="宋体" w:eastAsia="宋体" w:cs="宋体"/>
                <w:color w:val="auto"/>
                <w:sz w:val="24"/>
                <w:szCs w:val="24"/>
                <w:highlight w:val="none"/>
                <w:lang w:eastAsia="zh-CN"/>
              </w:rPr>
            </w:pPr>
          </w:p>
        </w:tc>
        <w:tc>
          <w:tcPr>
            <w:tcW w:w="4616" w:type="dxa"/>
            <w:tcBorders>
              <w:top w:val="nil"/>
              <w:left w:val="nil"/>
              <w:bottom w:val="single" w:color="auto" w:sz="4" w:space="0"/>
              <w:right w:val="single" w:color="auto" w:sz="4" w:space="0"/>
            </w:tcBorders>
            <w:noWrap w:val="0"/>
            <w:vAlign w:val="center"/>
          </w:tcPr>
          <w:p w14:paraId="2A1A0E4D">
            <w:pPr>
              <w:widowControl/>
              <w:jc w:val="left"/>
              <w:rPr>
                <w:rFonts w:ascii="宋体" w:hAnsi="宋体" w:cs="宋体"/>
                <w:color w:val="auto"/>
                <w:sz w:val="24"/>
                <w:szCs w:val="24"/>
                <w:highlight w:val="none"/>
              </w:rPr>
            </w:pPr>
          </w:p>
        </w:tc>
        <w:tc>
          <w:tcPr>
            <w:tcW w:w="1767" w:type="dxa"/>
            <w:vMerge w:val="restart"/>
            <w:tcBorders>
              <w:top w:val="nil"/>
              <w:left w:val="single" w:color="auto" w:sz="4" w:space="0"/>
              <w:bottom w:val="single" w:color="000000" w:sz="4" w:space="0"/>
              <w:right w:val="single" w:color="auto" w:sz="4" w:space="0"/>
            </w:tcBorders>
            <w:noWrap w:val="0"/>
            <w:vAlign w:val="center"/>
          </w:tcPr>
          <w:p w14:paraId="5448DD29">
            <w:pPr>
              <w:widowControl/>
              <w:jc w:val="center"/>
              <w:rPr>
                <w:rFonts w:ascii="宋体" w:hAnsi="宋体" w:cs="宋体"/>
                <w:color w:val="auto"/>
                <w:sz w:val="24"/>
                <w:szCs w:val="24"/>
                <w:highlight w:val="none"/>
              </w:rPr>
            </w:pPr>
          </w:p>
        </w:tc>
        <w:tc>
          <w:tcPr>
            <w:tcW w:w="1317" w:type="dxa"/>
            <w:vMerge w:val="restart"/>
            <w:tcBorders>
              <w:top w:val="nil"/>
              <w:left w:val="single" w:color="auto" w:sz="4" w:space="0"/>
              <w:bottom w:val="single" w:color="000000" w:sz="4" w:space="0"/>
              <w:right w:val="single" w:color="auto" w:sz="4" w:space="0"/>
            </w:tcBorders>
            <w:noWrap w:val="0"/>
            <w:vAlign w:val="center"/>
          </w:tcPr>
          <w:p w14:paraId="72D8DAA2">
            <w:pPr>
              <w:widowControl/>
              <w:jc w:val="left"/>
              <w:rPr>
                <w:rFonts w:ascii="宋体" w:hAnsi="宋体" w:cs="宋体"/>
                <w:color w:val="auto"/>
                <w:sz w:val="24"/>
                <w:szCs w:val="24"/>
                <w:highlight w:val="none"/>
              </w:rPr>
            </w:pPr>
            <w:r>
              <w:rPr>
                <w:rFonts w:hint="eastAsia" w:ascii="宋体" w:hAnsi="宋体" w:cs="宋体"/>
                <w:color w:val="auto"/>
                <w:sz w:val="24"/>
                <w:szCs w:val="24"/>
                <w:highlight w:val="none"/>
              </w:rPr>
              <w:t>　</w:t>
            </w:r>
          </w:p>
        </w:tc>
      </w:tr>
      <w:tr w14:paraId="15AA1CD6">
        <w:tblPrEx>
          <w:tblCellMar>
            <w:top w:w="0" w:type="dxa"/>
            <w:left w:w="108" w:type="dxa"/>
            <w:bottom w:w="0" w:type="dxa"/>
            <w:right w:w="108" w:type="dxa"/>
          </w:tblCellMar>
        </w:tblPrEx>
        <w:trPr>
          <w:trHeight w:val="278" w:hRule="atLeast"/>
        </w:trPr>
        <w:tc>
          <w:tcPr>
            <w:tcW w:w="998" w:type="dxa"/>
            <w:tcBorders>
              <w:top w:val="nil"/>
              <w:left w:val="single" w:color="auto" w:sz="4" w:space="0"/>
              <w:bottom w:val="single" w:color="auto" w:sz="4" w:space="0"/>
              <w:right w:val="single" w:color="auto" w:sz="4" w:space="0"/>
            </w:tcBorders>
            <w:noWrap w:val="0"/>
            <w:vAlign w:val="center"/>
          </w:tcPr>
          <w:p w14:paraId="1D8A463A">
            <w:pPr>
              <w:widowControl/>
              <w:jc w:val="center"/>
              <w:rPr>
                <w:rFonts w:hint="eastAsia" w:ascii="宋体" w:hAnsi="宋体" w:eastAsia="宋体" w:cs="宋体"/>
                <w:color w:val="auto"/>
                <w:sz w:val="24"/>
                <w:szCs w:val="24"/>
                <w:highlight w:val="none"/>
                <w:lang w:eastAsia="zh-CN"/>
              </w:rPr>
            </w:pPr>
          </w:p>
        </w:tc>
        <w:tc>
          <w:tcPr>
            <w:tcW w:w="4616" w:type="dxa"/>
            <w:tcBorders>
              <w:top w:val="nil"/>
              <w:left w:val="nil"/>
              <w:bottom w:val="single" w:color="auto" w:sz="4" w:space="0"/>
              <w:right w:val="single" w:color="auto" w:sz="4" w:space="0"/>
            </w:tcBorders>
            <w:noWrap w:val="0"/>
            <w:vAlign w:val="center"/>
          </w:tcPr>
          <w:p w14:paraId="40683B3D">
            <w:pPr>
              <w:widowControl/>
              <w:jc w:val="left"/>
              <w:rPr>
                <w:rFonts w:ascii="宋体" w:hAnsi="宋体" w:cs="宋体"/>
                <w:color w:val="auto"/>
                <w:sz w:val="24"/>
                <w:szCs w:val="24"/>
                <w:highlight w:val="none"/>
              </w:rPr>
            </w:pPr>
          </w:p>
        </w:tc>
        <w:tc>
          <w:tcPr>
            <w:tcW w:w="1767" w:type="dxa"/>
            <w:vMerge w:val="continue"/>
            <w:tcBorders>
              <w:top w:val="nil"/>
              <w:left w:val="single" w:color="auto" w:sz="4" w:space="0"/>
              <w:bottom w:val="single" w:color="000000" w:sz="4" w:space="0"/>
              <w:right w:val="single" w:color="auto" w:sz="4" w:space="0"/>
            </w:tcBorders>
            <w:noWrap w:val="0"/>
            <w:vAlign w:val="center"/>
          </w:tcPr>
          <w:p w14:paraId="4BBDCEA8">
            <w:pPr>
              <w:widowControl/>
              <w:jc w:val="left"/>
              <w:rPr>
                <w:rFonts w:ascii="宋体" w:hAnsi="宋体" w:cs="宋体"/>
                <w:color w:val="auto"/>
                <w:sz w:val="24"/>
                <w:szCs w:val="24"/>
                <w:highlight w:val="none"/>
              </w:rPr>
            </w:pPr>
          </w:p>
        </w:tc>
        <w:tc>
          <w:tcPr>
            <w:tcW w:w="1317" w:type="dxa"/>
            <w:vMerge w:val="continue"/>
            <w:tcBorders>
              <w:top w:val="nil"/>
              <w:left w:val="single" w:color="auto" w:sz="4" w:space="0"/>
              <w:bottom w:val="single" w:color="000000" w:sz="4" w:space="0"/>
              <w:right w:val="single" w:color="auto" w:sz="4" w:space="0"/>
            </w:tcBorders>
            <w:noWrap w:val="0"/>
            <w:vAlign w:val="center"/>
          </w:tcPr>
          <w:p w14:paraId="749CBE34">
            <w:pPr>
              <w:widowControl/>
              <w:jc w:val="left"/>
              <w:rPr>
                <w:rFonts w:ascii="宋体" w:hAnsi="宋体" w:cs="宋体"/>
                <w:color w:val="auto"/>
                <w:sz w:val="24"/>
                <w:szCs w:val="24"/>
                <w:highlight w:val="none"/>
              </w:rPr>
            </w:pPr>
          </w:p>
        </w:tc>
      </w:tr>
      <w:tr w14:paraId="638CAACB">
        <w:tblPrEx>
          <w:tblCellMar>
            <w:top w:w="0" w:type="dxa"/>
            <w:left w:w="108" w:type="dxa"/>
            <w:bottom w:w="0" w:type="dxa"/>
            <w:right w:w="108" w:type="dxa"/>
          </w:tblCellMar>
        </w:tblPrEx>
        <w:trPr>
          <w:trHeight w:val="285" w:hRule="atLeast"/>
        </w:trPr>
        <w:tc>
          <w:tcPr>
            <w:tcW w:w="998" w:type="dxa"/>
            <w:tcBorders>
              <w:top w:val="nil"/>
              <w:left w:val="single" w:color="auto" w:sz="4" w:space="0"/>
              <w:bottom w:val="single" w:color="auto" w:sz="4" w:space="0"/>
              <w:right w:val="single" w:color="auto" w:sz="4" w:space="0"/>
            </w:tcBorders>
            <w:noWrap w:val="0"/>
            <w:vAlign w:val="center"/>
          </w:tcPr>
          <w:p w14:paraId="22371A3E">
            <w:pPr>
              <w:widowControl/>
              <w:jc w:val="center"/>
              <w:rPr>
                <w:rFonts w:ascii="宋体" w:hAnsi="宋体" w:cs="宋体"/>
                <w:color w:val="auto"/>
                <w:sz w:val="24"/>
                <w:szCs w:val="24"/>
                <w:highlight w:val="none"/>
              </w:rPr>
            </w:pPr>
          </w:p>
        </w:tc>
        <w:tc>
          <w:tcPr>
            <w:tcW w:w="4616" w:type="dxa"/>
            <w:tcBorders>
              <w:top w:val="nil"/>
              <w:left w:val="nil"/>
              <w:bottom w:val="single" w:color="auto" w:sz="4" w:space="0"/>
              <w:right w:val="single" w:color="auto" w:sz="4" w:space="0"/>
            </w:tcBorders>
            <w:noWrap w:val="0"/>
            <w:vAlign w:val="center"/>
          </w:tcPr>
          <w:p w14:paraId="7DB91673">
            <w:pPr>
              <w:widowControl/>
              <w:jc w:val="left"/>
              <w:rPr>
                <w:rFonts w:ascii="宋体" w:hAnsi="宋体" w:cs="宋体"/>
                <w:color w:val="auto"/>
                <w:sz w:val="24"/>
                <w:szCs w:val="24"/>
                <w:highlight w:val="none"/>
              </w:rPr>
            </w:pPr>
          </w:p>
        </w:tc>
        <w:tc>
          <w:tcPr>
            <w:tcW w:w="1767" w:type="dxa"/>
            <w:vMerge w:val="continue"/>
            <w:tcBorders>
              <w:top w:val="nil"/>
              <w:left w:val="single" w:color="auto" w:sz="4" w:space="0"/>
              <w:bottom w:val="single" w:color="000000" w:sz="4" w:space="0"/>
              <w:right w:val="single" w:color="auto" w:sz="4" w:space="0"/>
            </w:tcBorders>
            <w:noWrap w:val="0"/>
            <w:vAlign w:val="center"/>
          </w:tcPr>
          <w:p w14:paraId="722085A9">
            <w:pPr>
              <w:widowControl/>
              <w:jc w:val="left"/>
              <w:rPr>
                <w:rFonts w:ascii="宋体" w:hAnsi="宋体" w:cs="宋体"/>
                <w:color w:val="auto"/>
                <w:sz w:val="24"/>
                <w:szCs w:val="24"/>
                <w:highlight w:val="none"/>
              </w:rPr>
            </w:pPr>
          </w:p>
        </w:tc>
        <w:tc>
          <w:tcPr>
            <w:tcW w:w="1317" w:type="dxa"/>
            <w:vMerge w:val="continue"/>
            <w:tcBorders>
              <w:top w:val="nil"/>
              <w:left w:val="single" w:color="auto" w:sz="4" w:space="0"/>
              <w:bottom w:val="single" w:color="000000" w:sz="4" w:space="0"/>
              <w:right w:val="single" w:color="auto" w:sz="4" w:space="0"/>
            </w:tcBorders>
            <w:noWrap w:val="0"/>
            <w:vAlign w:val="center"/>
          </w:tcPr>
          <w:p w14:paraId="25226CAC">
            <w:pPr>
              <w:widowControl/>
              <w:jc w:val="left"/>
              <w:rPr>
                <w:rFonts w:ascii="宋体" w:hAnsi="宋体" w:cs="宋体"/>
                <w:color w:val="auto"/>
                <w:sz w:val="24"/>
                <w:szCs w:val="24"/>
                <w:highlight w:val="none"/>
              </w:rPr>
            </w:pPr>
          </w:p>
        </w:tc>
      </w:tr>
      <w:tr w14:paraId="37FC33B9">
        <w:tblPrEx>
          <w:tblCellMar>
            <w:top w:w="0" w:type="dxa"/>
            <w:left w:w="108" w:type="dxa"/>
            <w:bottom w:w="0" w:type="dxa"/>
            <w:right w:w="108" w:type="dxa"/>
          </w:tblCellMar>
        </w:tblPrEx>
        <w:trPr>
          <w:trHeight w:val="289" w:hRule="atLeast"/>
        </w:trPr>
        <w:tc>
          <w:tcPr>
            <w:tcW w:w="8698" w:type="dxa"/>
            <w:gridSpan w:val="4"/>
            <w:tcBorders>
              <w:top w:val="single" w:color="auto" w:sz="4" w:space="0"/>
              <w:left w:val="single" w:color="auto" w:sz="4" w:space="0"/>
              <w:bottom w:val="single" w:color="auto" w:sz="4" w:space="0"/>
              <w:right w:val="single" w:color="000000" w:sz="4" w:space="0"/>
            </w:tcBorders>
            <w:noWrap w:val="0"/>
            <w:vAlign w:val="center"/>
          </w:tcPr>
          <w:p w14:paraId="4654E48B">
            <w:pPr>
              <w:widowControl/>
              <w:jc w:val="left"/>
              <w:rPr>
                <w:rFonts w:ascii="宋体" w:hAnsi="宋体" w:cs="宋体"/>
                <w:b/>
                <w:bCs/>
                <w:color w:val="auto"/>
                <w:sz w:val="24"/>
                <w:szCs w:val="24"/>
                <w:highlight w:val="none"/>
              </w:rPr>
            </w:pPr>
            <w:r>
              <w:rPr>
                <w:rFonts w:hint="eastAsia" w:ascii="宋体" w:hAnsi="宋体" w:cs="宋体"/>
                <w:b/>
                <w:bCs/>
                <w:color w:val="auto"/>
                <w:sz w:val="24"/>
                <w:szCs w:val="24"/>
                <w:highlight w:val="none"/>
              </w:rPr>
              <w:t>二、房屋维护服务（</w:t>
            </w:r>
            <w:r>
              <w:rPr>
                <w:rFonts w:hint="eastAsia" w:ascii="宋体" w:hAnsi="宋体" w:cs="宋体"/>
                <w:b/>
                <w:bCs/>
                <w:color w:val="auto"/>
                <w:sz w:val="24"/>
                <w:szCs w:val="24"/>
                <w:highlight w:val="none"/>
                <w:lang w:val="en-US" w:eastAsia="zh-CN"/>
              </w:rPr>
              <w:t>xx</w:t>
            </w:r>
            <w:r>
              <w:rPr>
                <w:rFonts w:hint="eastAsia" w:ascii="宋体" w:hAnsi="宋体" w:cs="宋体"/>
                <w:b/>
                <w:bCs/>
                <w:color w:val="auto"/>
                <w:sz w:val="24"/>
                <w:szCs w:val="24"/>
                <w:highlight w:val="none"/>
              </w:rPr>
              <w:t>分）</w:t>
            </w:r>
          </w:p>
        </w:tc>
      </w:tr>
      <w:tr w14:paraId="06C551AB">
        <w:tblPrEx>
          <w:tblCellMar>
            <w:top w:w="0" w:type="dxa"/>
            <w:left w:w="108" w:type="dxa"/>
            <w:bottom w:w="0" w:type="dxa"/>
            <w:right w:w="108" w:type="dxa"/>
          </w:tblCellMar>
        </w:tblPrEx>
        <w:trPr>
          <w:trHeight w:val="278" w:hRule="atLeast"/>
        </w:trPr>
        <w:tc>
          <w:tcPr>
            <w:tcW w:w="998" w:type="dxa"/>
            <w:vMerge w:val="restart"/>
            <w:tcBorders>
              <w:top w:val="nil"/>
              <w:left w:val="single" w:color="auto" w:sz="4" w:space="0"/>
              <w:bottom w:val="single" w:color="000000" w:sz="4" w:space="0"/>
              <w:right w:val="single" w:color="auto" w:sz="4" w:space="0"/>
            </w:tcBorders>
            <w:noWrap w:val="0"/>
            <w:vAlign w:val="center"/>
          </w:tcPr>
          <w:p w14:paraId="04022B5F">
            <w:pPr>
              <w:widowControl/>
              <w:jc w:val="center"/>
              <w:rPr>
                <w:rFonts w:hint="eastAsia" w:ascii="宋体" w:hAnsi="宋体" w:eastAsia="宋体" w:cs="宋体"/>
                <w:color w:val="auto"/>
                <w:sz w:val="22"/>
                <w:highlight w:val="none"/>
                <w:lang w:eastAsia="zh-CN"/>
              </w:rPr>
            </w:pPr>
          </w:p>
        </w:tc>
        <w:tc>
          <w:tcPr>
            <w:tcW w:w="4616" w:type="dxa"/>
            <w:tcBorders>
              <w:top w:val="nil"/>
              <w:left w:val="nil"/>
              <w:bottom w:val="single" w:color="auto" w:sz="4" w:space="0"/>
              <w:right w:val="single" w:color="auto" w:sz="4" w:space="0"/>
            </w:tcBorders>
            <w:noWrap w:val="0"/>
            <w:vAlign w:val="center"/>
          </w:tcPr>
          <w:p w14:paraId="7C182F04">
            <w:pPr>
              <w:widowControl/>
              <w:jc w:val="left"/>
              <w:rPr>
                <w:rFonts w:ascii="宋体" w:hAnsi="宋体" w:cs="宋体"/>
                <w:color w:val="auto"/>
                <w:sz w:val="22"/>
                <w:highlight w:val="none"/>
              </w:rPr>
            </w:pPr>
          </w:p>
        </w:tc>
        <w:tc>
          <w:tcPr>
            <w:tcW w:w="1767" w:type="dxa"/>
            <w:vMerge w:val="restart"/>
            <w:tcBorders>
              <w:top w:val="nil"/>
              <w:left w:val="single" w:color="auto" w:sz="4" w:space="0"/>
              <w:bottom w:val="single" w:color="auto" w:sz="4" w:space="0"/>
              <w:right w:val="single" w:color="auto" w:sz="4" w:space="0"/>
            </w:tcBorders>
            <w:noWrap w:val="0"/>
            <w:vAlign w:val="center"/>
          </w:tcPr>
          <w:p w14:paraId="5FC5200D">
            <w:pPr>
              <w:widowControl/>
              <w:jc w:val="center"/>
              <w:rPr>
                <w:rFonts w:ascii="宋体" w:hAnsi="宋体" w:cs="宋体"/>
                <w:color w:val="auto"/>
                <w:sz w:val="22"/>
                <w:highlight w:val="none"/>
              </w:rPr>
            </w:pPr>
          </w:p>
        </w:tc>
        <w:tc>
          <w:tcPr>
            <w:tcW w:w="1317" w:type="dxa"/>
            <w:vMerge w:val="restart"/>
            <w:tcBorders>
              <w:top w:val="nil"/>
              <w:left w:val="single" w:color="auto" w:sz="4" w:space="0"/>
              <w:bottom w:val="single" w:color="auto" w:sz="4" w:space="0"/>
              <w:right w:val="single" w:color="auto" w:sz="4" w:space="0"/>
            </w:tcBorders>
            <w:noWrap w:val="0"/>
            <w:vAlign w:val="center"/>
          </w:tcPr>
          <w:p w14:paraId="5768E1E4">
            <w:pPr>
              <w:widowControl/>
              <w:jc w:val="center"/>
              <w:rPr>
                <w:rFonts w:ascii="宋体" w:hAnsi="宋体" w:cs="宋体"/>
                <w:color w:val="auto"/>
                <w:sz w:val="22"/>
                <w:highlight w:val="none"/>
              </w:rPr>
            </w:pPr>
            <w:r>
              <w:rPr>
                <w:rFonts w:hint="eastAsia" w:ascii="宋体" w:hAnsi="宋体" w:cs="宋体"/>
                <w:color w:val="auto"/>
                <w:sz w:val="22"/>
                <w:highlight w:val="none"/>
              </w:rPr>
              <w:t>　</w:t>
            </w:r>
          </w:p>
        </w:tc>
      </w:tr>
      <w:tr w14:paraId="3988EF22">
        <w:tblPrEx>
          <w:tblCellMar>
            <w:top w:w="0" w:type="dxa"/>
            <w:left w:w="108" w:type="dxa"/>
            <w:bottom w:w="0" w:type="dxa"/>
            <w:right w:w="108" w:type="dxa"/>
          </w:tblCellMar>
        </w:tblPrEx>
        <w:trPr>
          <w:trHeight w:val="278" w:hRule="atLeast"/>
        </w:trPr>
        <w:tc>
          <w:tcPr>
            <w:tcW w:w="998" w:type="dxa"/>
            <w:vMerge w:val="continue"/>
            <w:tcBorders>
              <w:top w:val="nil"/>
              <w:left w:val="single" w:color="auto" w:sz="4" w:space="0"/>
              <w:bottom w:val="single" w:color="000000" w:sz="4" w:space="0"/>
              <w:right w:val="single" w:color="auto" w:sz="4" w:space="0"/>
            </w:tcBorders>
            <w:noWrap w:val="0"/>
            <w:vAlign w:val="center"/>
          </w:tcPr>
          <w:p w14:paraId="3981833E">
            <w:pPr>
              <w:widowControl/>
              <w:jc w:val="left"/>
              <w:rPr>
                <w:rFonts w:ascii="宋体" w:hAnsi="宋体" w:cs="宋体"/>
                <w:color w:val="auto"/>
                <w:sz w:val="22"/>
                <w:highlight w:val="none"/>
              </w:rPr>
            </w:pPr>
          </w:p>
        </w:tc>
        <w:tc>
          <w:tcPr>
            <w:tcW w:w="4616" w:type="dxa"/>
            <w:tcBorders>
              <w:top w:val="nil"/>
              <w:left w:val="nil"/>
              <w:bottom w:val="single" w:color="auto" w:sz="4" w:space="0"/>
              <w:right w:val="single" w:color="auto" w:sz="4" w:space="0"/>
            </w:tcBorders>
            <w:noWrap w:val="0"/>
            <w:vAlign w:val="center"/>
          </w:tcPr>
          <w:p w14:paraId="02306309">
            <w:pPr>
              <w:widowControl/>
              <w:jc w:val="left"/>
              <w:rPr>
                <w:rFonts w:ascii="宋体" w:hAnsi="宋体" w:cs="宋体"/>
                <w:color w:val="auto"/>
                <w:sz w:val="22"/>
                <w:highlight w:val="none"/>
              </w:rPr>
            </w:pPr>
          </w:p>
        </w:tc>
        <w:tc>
          <w:tcPr>
            <w:tcW w:w="1767" w:type="dxa"/>
            <w:vMerge w:val="continue"/>
            <w:tcBorders>
              <w:top w:val="nil"/>
              <w:left w:val="single" w:color="auto" w:sz="4" w:space="0"/>
              <w:bottom w:val="single" w:color="auto" w:sz="4" w:space="0"/>
              <w:right w:val="single" w:color="auto" w:sz="4" w:space="0"/>
            </w:tcBorders>
            <w:noWrap w:val="0"/>
            <w:vAlign w:val="center"/>
          </w:tcPr>
          <w:p w14:paraId="04BCD178">
            <w:pPr>
              <w:widowControl/>
              <w:jc w:val="left"/>
              <w:rPr>
                <w:rFonts w:ascii="宋体" w:hAnsi="宋体" w:cs="宋体"/>
                <w:color w:val="auto"/>
                <w:sz w:val="22"/>
                <w:highlight w:val="none"/>
              </w:rPr>
            </w:pPr>
          </w:p>
        </w:tc>
        <w:tc>
          <w:tcPr>
            <w:tcW w:w="1317" w:type="dxa"/>
            <w:vMerge w:val="continue"/>
            <w:tcBorders>
              <w:top w:val="nil"/>
              <w:left w:val="single" w:color="auto" w:sz="4" w:space="0"/>
              <w:bottom w:val="single" w:color="auto" w:sz="4" w:space="0"/>
              <w:right w:val="single" w:color="auto" w:sz="4" w:space="0"/>
            </w:tcBorders>
            <w:noWrap w:val="0"/>
            <w:vAlign w:val="center"/>
          </w:tcPr>
          <w:p w14:paraId="1B180931">
            <w:pPr>
              <w:widowControl/>
              <w:jc w:val="left"/>
              <w:rPr>
                <w:rFonts w:ascii="宋体" w:hAnsi="宋体" w:cs="宋体"/>
                <w:color w:val="auto"/>
                <w:sz w:val="22"/>
                <w:highlight w:val="none"/>
              </w:rPr>
            </w:pPr>
          </w:p>
        </w:tc>
      </w:tr>
      <w:tr w14:paraId="74764372">
        <w:tblPrEx>
          <w:tblCellMar>
            <w:top w:w="0" w:type="dxa"/>
            <w:left w:w="108" w:type="dxa"/>
            <w:bottom w:w="0" w:type="dxa"/>
            <w:right w:w="108" w:type="dxa"/>
          </w:tblCellMar>
        </w:tblPrEx>
        <w:trPr>
          <w:trHeight w:val="278" w:hRule="atLeast"/>
        </w:trPr>
        <w:tc>
          <w:tcPr>
            <w:tcW w:w="998" w:type="dxa"/>
            <w:vMerge w:val="continue"/>
            <w:tcBorders>
              <w:top w:val="nil"/>
              <w:left w:val="single" w:color="auto" w:sz="4" w:space="0"/>
              <w:bottom w:val="single" w:color="000000" w:sz="4" w:space="0"/>
              <w:right w:val="single" w:color="auto" w:sz="4" w:space="0"/>
            </w:tcBorders>
            <w:noWrap w:val="0"/>
            <w:vAlign w:val="center"/>
          </w:tcPr>
          <w:p w14:paraId="27594141">
            <w:pPr>
              <w:widowControl/>
              <w:jc w:val="left"/>
              <w:rPr>
                <w:rFonts w:ascii="宋体" w:hAnsi="宋体" w:cs="宋体"/>
                <w:color w:val="auto"/>
                <w:sz w:val="22"/>
                <w:highlight w:val="none"/>
              </w:rPr>
            </w:pPr>
          </w:p>
        </w:tc>
        <w:tc>
          <w:tcPr>
            <w:tcW w:w="4616" w:type="dxa"/>
            <w:tcBorders>
              <w:top w:val="nil"/>
              <w:left w:val="nil"/>
              <w:bottom w:val="single" w:color="auto" w:sz="4" w:space="0"/>
              <w:right w:val="single" w:color="auto" w:sz="4" w:space="0"/>
            </w:tcBorders>
            <w:noWrap w:val="0"/>
            <w:vAlign w:val="center"/>
          </w:tcPr>
          <w:p w14:paraId="47545B27">
            <w:pPr>
              <w:widowControl/>
              <w:jc w:val="left"/>
              <w:rPr>
                <w:rFonts w:ascii="宋体" w:hAnsi="宋体" w:cs="宋体"/>
                <w:color w:val="auto"/>
                <w:sz w:val="22"/>
                <w:highlight w:val="none"/>
              </w:rPr>
            </w:pPr>
          </w:p>
        </w:tc>
        <w:tc>
          <w:tcPr>
            <w:tcW w:w="1767" w:type="dxa"/>
            <w:vMerge w:val="continue"/>
            <w:tcBorders>
              <w:top w:val="nil"/>
              <w:left w:val="single" w:color="auto" w:sz="4" w:space="0"/>
              <w:bottom w:val="single" w:color="auto" w:sz="4" w:space="0"/>
              <w:right w:val="single" w:color="auto" w:sz="4" w:space="0"/>
            </w:tcBorders>
            <w:noWrap w:val="0"/>
            <w:vAlign w:val="center"/>
          </w:tcPr>
          <w:p w14:paraId="5C50827D">
            <w:pPr>
              <w:widowControl/>
              <w:jc w:val="left"/>
              <w:rPr>
                <w:rFonts w:ascii="宋体" w:hAnsi="宋体" w:cs="宋体"/>
                <w:color w:val="auto"/>
                <w:sz w:val="22"/>
                <w:highlight w:val="none"/>
              </w:rPr>
            </w:pPr>
          </w:p>
        </w:tc>
        <w:tc>
          <w:tcPr>
            <w:tcW w:w="1317" w:type="dxa"/>
            <w:vMerge w:val="continue"/>
            <w:tcBorders>
              <w:top w:val="nil"/>
              <w:left w:val="single" w:color="auto" w:sz="4" w:space="0"/>
              <w:bottom w:val="single" w:color="auto" w:sz="4" w:space="0"/>
              <w:right w:val="single" w:color="auto" w:sz="4" w:space="0"/>
            </w:tcBorders>
            <w:noWrap w:val="0"/>
            <w:vAlign w:val="center"/>
          </w:tcPr>
          <w:p w14:paraId="5F44852E">
            <w:pPr>
              <w:widowControl/>
              <w:jc w:val="left"/>
              <w:rPr>
                <w:rFonts w:ascii="宋体" w:hAnsi="宋体" w:cs="宋体"/>
                <w:color w:val="auto"/>
                <w:sz w:val="22"/>
                <w:highlight w:val="none"/>
              </w:rPr>
            </w:pPr>
          </w:p>
        </w:tc>
      </w:tr>
      <w:tr w14:paraId="08A01857">
        <w:tblPrEx>
          <w:tblCellMar>
            <w:top w:w="0" w:type="dxa"/>
            <w:left w:w="108" w:type="dxa"/>
            <w:bottom w:w="0" w:type="dxa"/>
            <w:right w:w="108" w:type="dxa"/>
          </w:tblCellMar>
        </w:tblPrEx>
        <w:trPr>
          <w:trHeight w:val="278" w:hRule="atLeast"/>
        </w:trPr>
        <w:tc>
          <w:tcPr>
            <w:tcW w:w="998" w:type="dxa"/>
            <w:vMerge w:val="continue"/>
            <w:tcBorders>
              <w:top w:val="nil"/>
              <w:left w:val="single" w:color="auto" w:sz="4" w:space="0"/>
              <w:bottom w:val="single" w:color="000000" w:sz="4" w:space="0"/>
              <w:right w:val="single" w:color="auto" w:sz="4" w:space="0"/>
            </w:tcBorders>
            <w:noWrap w:val="0"/>
            <w:vAlign w:val="center"/>
          </w:tcPr>
          <w:p w14:paraId="79A46DE3">
            <w:pPr>
              <w:widowControl/>
              <w:jc w:val="left"/>
              <w:rPr>
                <w:rFonts w:ascii="宋体" w:hAnsi="宋体" w:cs="宋体"/>
                <w:color w:val="auto"/>
                <w:sz w:val="22"/>
                <w:highlight w:val="none"/>
              </w:rPr>
            </w:pPr>
          </w:p>
        </w:tc>
        <w:tc>
          <w:tcPr>
            <w:tcW w:w="4616" w:type="dxa"/>
            <w:tcBorders>
              <w:top w:val="nil"/>
              <w:left w:val="nil"/>
              <w:bottom w:val="single" w:color="auto" w:sz="4" w:space="0"/>
              <w:right w:val="single" w:color="auto" w:sz="4" w:space="0"/>
            </w:tcBorders>
            <w:noWrap w:val="0"/>
            <w:vAlign w:val="center"/>
          </w:tcPr>
          <w:p w14:paraId="0CEF8CAF">
            <w:pPr>
              <w:widowControl/>
              <w:jc w:val="left"/>
              <w:rPr>
                <w:rFonts w:ascii="宋体" w:hAnsi="宋体" w:cs="宋体"/>
                <w:color w:val="auto"/>
                <w:sz w:val="22"/>
                <w:highlight w:val="none"/>
              </w:rPr>
            </w:pPr>
          </w:p>
        </w:tc>
        <w:tc>
          <w:tcPr>
            <w:tcW w:w="1767" w:type="dxa"/>
            <w:vMerge w:val="continue"/>
            <w:tcBorders>
              <w:top w:val="nil"/>
              <w:left w:val="single" w:color="auto" w:sz="4" w:space="0"/>
              <w:bottom w:val="single" w:color="auto" w:sz="4" w:space="0"/>
              <w:right w:val="single" w:color="auto" w:sz="4" w:space="0"/>
            </w:tcBorders>
            <w:noWrap w:val="0"/>
            <w:vAlign w:val="center"/>
          </w:tcPr>
          <w:p w14:paraId="31A20791">
            <w:pPr>
              <w:widowControl/>
              <w:jc w:val="left"/>
              <w:rPr>
                <w:rFonts w:ascii="宋体" w:hAnsi="宋体" w:cs="宋体"/>
                <w:color w:val="auto"/>
                <w:sz w:val="22"/>
                <w:highlight w:val="none"/>
              </w:rPr>
            </w:pPr>
          </w:p>
        </w:tc>
        <w:tc>
          <w:tcPr>
            <w:tcW w:w="1317" w:type="dxa"/>
            <w:vMerge w:val="continue"/>
            <w:tcBorders>
              <w:top w:val="nil"/>
              <w:left w:val="single" w:color="auto" w:sz="4" w:space="0"/>
              <w:bottom w:val="single" w:color="auto" w:sz="4" w:space="0"/>
              <w:right w:val="single" w:color="auto" w:sz="4" w:space="0"/>
            </w:tcBorders>
            <w:noWrap w:val="0"/>
            <w:vAlign w:val="center"/>
          </w:tcPr>
          <w:p w14:paraId="30E369A6">
            <w:pPr>
              <w:widowControl/>
              <w:jc w:val="left"/>
              <w:rPr>
                <w:rFonts w:ascii="宋体" w:hAnsi="宋体" w:cs="宋体"/>
                <w:color w:val="auto"/>
                <w:sz w:val="22"/>
                <w:highlight w:val="none"/>
              </w:rPr>
            </w:pPr>
          </w:p>
        </w:tc>
      </w:tr>
      <w:tr w14:paraId="4F63AA8C">
        <w:tblPrEx>
          <w:tblCellMar>
            <w:top w:w="0" w:type="dxa"/>
            <w:left w:w="108" w:type="dxa"/>
            <w:bottom w:w="0" w:type="dxa"/>
            <w:right w:w="108" w:type="dxa"/>
          </w:tblCellMar>
        </w:tblPrEx>
        <w:trPr>
          <w:trHeight w:val="278" w:hRule="atLeast"/>
        </w:trPr>
        <w:tc>
          <w:tcPr>
            <w:tcW w:w="998" w:type="dxa"/>
            <w:vMerge w:val="continue"/>
            <w:tcBorders>
              <w:top w:val="nil"/>
              <w:left w:val="single" w:color="auto" w:sz="4" w:space="0"/>
              <w:bottom w:val="single" w:color="000000" w:sz="4" w:space="0"/>
              <w:right w:val="single" w:color="auto" w:sz="4" w:space="0"/>
            </w:tcBorders>
            <w:noWrap w:val="0"/>
            <w:vAlign w:val="center"/>
          </w:tcPr>
          <w:p w14:paraId="4808FF18">
            <w:pPr>
              <w:widowControl/>
              <w:jc w:val="left"/>
              <w:rPr>
                <w:rFonts w:ascii="宋体" w:hAnsi="宋体" w:cs="宋体"/>
                <w:color w:val="auto"/>
                <w:sz w:val="22"/>
                <w:highlight w:val="none"/>
              </w:rPr>
            </w:pPr>
          </w:p>
        </w:tc>
        <w:tc>
          <w:tcPr>
            <w:tcW w:w="4616" w:type="dxa"/>
            <w:tcBorders>
              <w:top w:val="nil"/>
              <w:left w:val="nil"/>
              <w:bottom w:val="single" w:color="auto" w:sz="4" w:space="0"/>
              <w:right w:val="single" w:color="auto" w:sz="4" w:space="0"/>
            </w:tcBorders>
            <w:noWrap w:val="0"/>
            <w:vAlign w:val="center"/>
          </w:tcPr>
          <w:p w14:paraId="4BF08180">
            <w:pPr>
              <w:widowControl/>
              <w:jc w:val="left"/>
              <w:rPr>
                <w:rFonts w:ascii="宋体" w:hAnsi="宋体" w:cs="宋体"/>
                <w:color w:val="auto"/>
                <w:sz w:val="22"/>
                <w:highlight w:val="none"/>
              </w:rPr>
            </w:pPr>
          </w:p>
        </w:tc>
        <w:tc>
          <w:tcPr>
            <w:tcW w:w="1767" w:type="dxa"/>
            <w:vMerge w:val="continue"/>
            <w:tcBorders>
              <w:top w:val="nil"/>
              <w:left w:val="single" w:color="auto" w:sz="4" w:space="0"/>
              <w:bottom w:val="single" w:color="auto" w:sz="4" w:space="0"/>
              <w:right w:val="single" w:color="auto" w:sz="4" w:space="0"/>
            </w:tcBorders>
            <w:noWrap w:val="0"/>
            <w:vAlign w:val="center"/>
          </w:tcPr>
          <w:p w14:paraId="0E458955">
            <w:pPr>
              <w:widowControl/>
              <w:jc w:val="left"/>
              <w:rPr>
                <w:rFonts w:ascii="宋体" w:hAnsi="宋体" w:cs="宋体"/>
                <w:color w:val="auto"/>
                <w:sz w:val="22"/>
                <w:highlight w:val="none"/>
              </w:rPr>
            </w:pPr>
          </w:p>
        </w:tc>
        <w:tc>
          <w:tcPr>
            <w:tcW w:w="1317" w:type="dxa"/>
            <w:vMerge w:val="continue"/>
            <w:tcBorders>
              <w:top w:val="nil"/>
              <w:left w:val="single" w:color="auto" w:sz="4" w:space="0"/>
              <w:bottom w:val="single" w:color="auto" w:sz="4" w:space="0"/>
              <w:right w:val="single" w:color="auto" w:sz="4" w:space="0"/>
            </w:tcBorders>
            <w:noWrap w:val="0"/>
            <w:vAlign w:val="center"/>
          </w:tcPr>
          <w:p w14:paraId="0A5A1726">
            <w:pPr>
              <w:widowControl/>
              <w:jc w:val="left"/>
              <w:rPr>
                <w:rFonts w:ascii="宋体" w:hAnsi="宋体" w:cs="宋体"/>
                <w:color w:val="auto"/>
                <w:sz w:val="22"/>
                <w:highlight w:val="none"/>
              </w:rPr>
            </w:pPr>
          </w:p>
        </w:tc>
      </w:tr>
      <w:tr w14:paraId="5F6985E2">
        <w:tblPrEx>
          <w:tblCellMar>
            <w:top w:w="0" w:type="dxa"/>
            <w:left w:w="108" w:type="dxa"/>
            <w:bottom w:w="0" w:type="dxa"/>
            <w:right w:w="108" w:type="dxa"/>
          </w:tblCellMar>
        </w:tblPrEx>
        <w:trPr>
          <w:trHeight w:val="278" w:hRule="atLeast"/>
        </w:trPr>
        <w:tc>
          <w:tcPr>
            <w:tcW w:w="998" w:type="dxa"/>
            <w:vMerge w:val="continue"/>
            <w:tcBorders>
              <w:top w:val="nil"/>
              <w:left w:val="single" w:color="auto" w:sz="4" w:space="0"/>
              <w:bottom w:val="single" w:color="000000" w:sz="4" w:space="0"/>
              <w:right w:val="single" w:color="auto" w:sz="4" w:space="0"/>
            </w:tcBorders>
            <w:noWrap w:val="0"/>
            <w:vAlign w:val="center"/>
          </w:tcPr>
          <w:p w14:paraId="6CD959D1">
            <w:pPr>
              <w:widowControl/>
              <w:jc w:val="left"/>
              <w:rPr>
                <w:rFonts w:ascii="宋体" w:hAnsi="宋体" w:cs="宋体"/>
                <w:color w:val="auto"/>
                <w:sz w:val="22"/>
                <w:highlight w:val="none"/>
              </w:rPr>
            </w:pPr>
          </w:p>
        </w:tc>
        <w:tc>
          <w:tcPr>
            <w:tcW w:w="4616" w:type="dxa"/>
            <w:tcBorders>
              <w:top w:val="nil"/>
              <w:left w:val="nil"/>
              <w:bottom w:val="single" w:color="auto" w:sz="4" w:space="0"/>
              <w:right w:val="single" w:color="auto" w:sz="4" w:space="0"/>
            </w:tcBorders>
            <w:noWrap w:val="0"/>
            <w:vAlign w:val="center"/>
          </w:tcPr>
          <w:p w14:paraId="35FE7625">
            <w:pPr>
              <w:widowControl/>
              <w:jc w:val="left"/>
              <w:rPr>
                <w:rFonts w:ascii="宋体" w:hAnsi="宋体" w:cs="宋体"/>
                <w:color w:val="auto"/>
                <w:sz w:val="22"/>
                <w:highlight w:val="none"/>
              </w:rPr>
            </w:pPr>
          </w:p>
        </w:tc>
        <w:tc>
          <w:tcPr>
            <w:tcW w:w="1767" w:type="dxa"/>
            <w:vMerge w:val="continue"/>
            <w:tcBorders>
              <w:top w:val="nil"/>
              <w:left w:val="single" w:color="auto" w:sz="4" w:space="0"/>
              <w:bottom w:val="single" w:color="000000" w:sz="4" w:space="0"/>
              <w:right w:val="single" w:color="auto" w:sz="4" w:space="0"/>
            </w:tcBorders>
            <w:noWrap w:val="0"/>
            <w:vAlign w:val="center"/>
          </w:tcPr>
          <w:p w14:paraId="699A4727">
            <w:pPr>
              <w:widowControl/>
              <w:jc w:val="left"/>
              <w:rPr>
                <w:rFonts w:ascii="宋体" w:hAnsi="宋体" w:cs="宋体"/>
                <w:color w:val="auto"/>
                <w:sz w:val="22"/>
                <w:highlight w:val="none"/>
              </w:rPr>
            </w:pPr>
          </w:p>
        </w:tc>
        <w:tc>
          <w:tcPr>
            <w:tcW w:w="1317" w:type="dxa"/>
            <w:vMerge w:val="continue"/>
            <w:tcBorders>
              <w:top w:val="nil"/>
              <w:left w:val="single" w:color="auto" w:sz="4" w:space="0"/>
              <w:bottom w:val="single" w:color="000000" w:sz="4" w:space="0"/>
              <w:right w:val="single" w:color="auto" w:sz="4" w:space="0"/>
            </w:tcBorders>
            <w:noWrap w:val="0"/>
            <w:vAlign w:val="center"/>
          </w:tcPr>
          <w:p w14:paraId="6A52C304">
            <w:pPr>
              <w:widowControl/>
              <w:jc w:val="left"/>
              <w:rPr>
                <w:rFonts w:ascii="宋体" w:hAnsi="宋体" w:cs="宋体"/>
                <w:color w:val="auto"/>
                <w:sz w:val="22"/>
                <w:highlight w:val="none"/>
              </w:rPr>
            </w:pPr>
          </w:p>
        </w:tc>
      </w:tr>
      <w:tr w14:paraId="09C25EC9">
        <w:tblPrEx>
          <w:tblCellMar>
            <w:top w:w="0" w:type="dxa"/>
            <w:left w:w="108" w:type="dxa"/>
            <w:bottom w:w="0" w:type="dxa"/>
            <w:right w:w="108" w:type="dxa"/>
          </w:tblCellMar>
        </w:tblPrEx>
        <w:trPr>
          <w:trHeight w:val="278" w:hRule="atLeast"/>
        </w:trPr>
        <w:tc>
          <w:tcPr>
            <w:tcW w:w="998" w:type="dxa"/>
            <w:vMerge w:val="continue"/>
            <w:tcBorders>
              <w:top w:val="nil"/>
              <w:left w:val="single" w:color="auto" w:sz="4" w:space="0"/>
              <w:bottom w:val="single" w:color="000000" w:sz="4" w:space="0"/>
              <w:right w:val="single" w:color="auto" w:sz="4" w:space="0"/>
            </w:tcBorders>
            <w:noWrap w:val="0"/>
            <w:vAlign w:val="center"/>
          </w:tcPr>
          <w:p w14:paraId="710014EF">
            <w:pPr>
              <w:widowControl/>
              <w:jc w:val="left"/>
              <w:rPr>
                <w:rFonts w:ascii="宋体" w:hAnsi="宋体" w:cs="宋体"/>
                <w:color w:val="auto"/>
                <w:sz w:val="22"/>
                <w:highlight w:val="none"/>
              </w:rPr>
            </w:pPr>
          </w:p>
        </w:tc>
        <w:tc>
          <w:tcPr>
            <w:tcW w:w="4616" w:type="dxa"/>
            <w:tcBorders>
              <w:top w:val="nil"/>
              <w:left w:val="nil"/>
              <w:bottom w:val="single" w:color="auto" w:sz="4" w:space="0"/>
              <w:right w:val="single" w:color="auto" w:sz="4" w:space="0"/>
            </w:tcBorders>
            <w:noWrap w:val="0"/>
            <w:vAlign w:val="center"/>
          </w:tcPr>
          <w:p w14:paraId="39037168">
            <w:pPr>
              <w:widowControl/>
              <w:jc w:val="left"/>
              <w:rPr>
                <w:rFonts w:ascii="宋体" w:hAnsi="宋体" w:cs="宋体"/>
                <w:color w:val="auto"/>
                <w:sz w:val="22"/>
                <w:highlight w:val="none"/>
              </w:rPr>
            </w:pPr>
          </w:p>
        </w:tc>
        <w:tc>
          <w:tcPr>
            <w:tcW w:w="1767" w:type="dxa"/>
            <w:vMerge w:val="continue"/>
            <w:tcBorders>
              <w:top w:val="nil"/>
              <w:left w:val="single" w:color="auto" w:sz="4" w:space="0"/>
              <w:bottom w:val="single" w:color="000000" w:sz="4" w:space="0"/>
              <w:right w:val="single" w:color="auto" w:sz="4" w:space="0"/>
            </w:tcBorders>
            <w:noWrap w:val="0"/>
            <w:vAlign w:val="center"/>
          </w:tcPr>
          <w:p w14:paraId="22A0846B">
            <w:pPr>
              <w:widowControl/>
              <w:jc w:val="left"/>
              <w:rPr>
                <w:rFonts w:ascii="宋体" w:hAnsi="宋体" w:cs="宋体"/>
                <w:color w:val="auto"/>
                <w:sz w:val="22"/>
                <w:highlight w:val="none"/>
              </w:rPr>
            </w:pPr>
          </w:p>
        </w:tc>
        <w:tc>
          <w:tcPr>
            <w:tcW w:w="1317" w:type="dxa"/>
            <w:vMerge w:val="continue"/>
            <w:tcBorders>
              <w:top w:val="nil"/>
              <w:left w:val="single" w:color="auto" w:sz="4" w:space="0"/>
              <w:bottom w:val="single" w:color="000000" w:sz="4" w:space="0"/>
              <w:right w:val="single" w:color="auto" w:sz="4" w:space="0"/>
            </w:tcBorders>
            <w:noWrap w:val="0"/>
            <w:vAlign w:val="center"/>
          </w:tcPr>
          <w:p w14:paraId="0486375B">
            <w:pPr>
              <w:widowControl/>
              <w:jc w:val="left"/>
              <w:rPr>
                <w:rFonts w:ascii="宋体" w:hAnsi="宋体" w:cs="宋体"/>
                <w:color w:val="auto"/>
                <w:sz w:val="22"/>
                <w:highlight w:val="none"/>
              </w:rPr>
            </w:pPr>
          </w:p>
        </w:tc>
      </w:tr>
      <w:tr w14:paraId="5B79D719">
        <w:tblPrEx>
          <w:tblCellMar>
            <w:top w:w="0" w:type="dxa"/>
            <w:left w:w="108" w:type="dxa"/>
            <w:bottom w:w="0" w:type="dxa"/>
            <w:right w:w="108" w:type="dxa"/>
          </w:tblCellMar>
        </w:tblPrEx>
        <w:trPr>
          <w:trHeight w:val="278" w:hRule="atLeast"/>
        </w:trPr>
        <w:tc>
          <w:tcPr>
            <w:tcW w:w="8698" w:type="dxa"/>
            <w:gridSpan w:val="4"/>
            <w:tcBorders>
              <w:top w:val="single" w:color="auto" w:sz="4" w:space="0"/>
              <w:left w:val="single" w:color="auto" w:sz="4" w:space="0"/>
              <w:bottom w:val="single" w:color="auto" w:sz="4" w:space="0"/>
              <w:right w:val="single" w:color="000000" w:sz="4" w:space="0"/>
            </w:tcBorders>
            <w:noWrap w:val="0"/>
            <w:vAlign w:val="center"/>
          </w:tcPr>
          <w:p w14:paraId="7F33E6F4">
            <w:pPr>
              <w:widowControl/>
              <w:jc w:val="left"/>
              <w:rPr>
                <w:rFonts w:hint="default" w:ascii="宋体" w:hAnsi="宋体" w:eastAsia="宋体" w:cs="宋体"/>
                <w:b/>
                <w:bCs/>
                <w:color w:val="auto"/>
                <w:sz w:val="22"/>
                <w:highlight w:val="none"/>
                <w:lang w:val="en-US" w:eastAsia="zh-CN"/>
              </w:rPr>
            </w:pPr>
          </w:p>
        </w:tc>
      </w:tr>
    </w:tbl>
    <w:p w14:paraId="31F76457">
      <w:pPr>
        <w:pStyle w:val="7"/>
        <w:numPr>
          <w:ilvl w:val="0"/>
          <w:numId w:val="0"/>
        </w:numPr>
        <w:spacing w:before="36" w:line="221" w:lineRule="auto"/>
        <w:ind w:left="0" w:firstLine="422"/>
        <w:rPr>
          <w:rFonts w:hint="default" w:ascii="宋体" w:hAnsi="宋体" w:eastAsia="宋体" w:cs="Times New Roman"/>
          <w:b/>
          <w:bCs/>
          <w:sz w:val="21"/>
          <w:szCs w:val="21"/>
          <w:lang w:val="en-US" w:eastAsia="zh-CN" w:bidi="ar-SA"/>
        </w:rPr>
      </w:pPr>
      <w:r>
        <w:rPr>
          <w:rFonts w:hint="eastAsia" w:ascii="宋体" w:hAnsi="宋体" w:eastAsia="宋体" w:cs="Times New Roman"/>
          <w:b/>
          <w:bCs/>
          <w:sz w:val="21"/>
          <w:szCs w:val="21"/>
          <w:lang w:val="en-US" w:eastAsia="zh-CN" w:bidi="ar-SA"/>
        </w:rPr>
        <w:t>注：用人单位根据需求自行设计考核内容</w:t>
      </w:r>
    </w:p>
    <w:p w14:paraId="34847D29">
      <w:pPr>
        <w:pStyle w:val="7"/>
        <w:numPr>
          <w:ilvl w:val="0"/>
          <w:numId w:val="4"/>
        </w:numPr>
        <w:spacing w:before="36" w:line="221" w:lineRule="auto"/>
        <w:ind w:left="0" w:firstLine="482"/>
        <w:rPr>
          <w:rFonts w:hint="eastAsia" w:ascii="宋体" w:hAnsi="宋体" w:eastAsia="宋体" w:cs="Times New Roman"/>
          <w:b/>
          <w:bCs/>
          <w:sz w:val="24"/>
          <w:szCs w:val="24"/>
          <w:lang w:val="en-US" w:eastAsia="zh-CN" w:bidi="ar-SA"/>
        </w:rPr>
      </w:pPr>
      <w:r>
        <w:rPr>
          <w:rFonts w:hint="eastAsia" w:ascii="宋体" w:hAnsi="宋体" w:eastAsia="宋体" w:cs="Times New Roman"/>
          <w:b/>
          <w:bCs/>
          <w:sz w:val="24"/>
          <w:szCs w:val="24"/>
          <w:lang w:val="en-US" w:eastAsia="zh-CN" w:bidi="ar-SA"/>
        </w:rPr>
        <w:t>考核办法及付款方式</w:t>
      </w:r>
    </w:p>
    <w:p w14:paraId="69963E18">
      <w:pPr>
        <w:pStyle w:val="7"/>
        <w:numPr>
          <w:ilvl w:val="0"/>
          <w:numId w:val="0"/>
        </w:numPr>
        <w:spacing w:before="36" w:line="221" w:lineRule="auto"/>
        <w:ind w:firstLine="480"/>
        <w:rPr>
          <w:rFonts w:hint="default"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由</w:t>
      </w:r>
      <w:r>
        <w:rPr>
          <w:rFonts w:hint="default" w:ascii="宋体" w:hAnsi="宋体" w:eastAsia="宋体" w:cs="宋体"/>
          <w:color w:val="auto"/>
          <w:sz w:val="24"/>
          <w:szCs w:val="24"/>
          <w:lang w:val="en-US" w:eastAsia="zh-CN" w:bidi="ar-SA"/>
        </w:rPr>
        <w:t>采购人及入围供应商根据服务内容、人员配备等具体服务要求在合同中约定。</w:t>
      </w:r>
    </w:p>
    <w:p w14:paraId="44976192">
      <w:pPr>
        <w:pStyle w:val="5"/>
        <w:numPr>
          <w:ilvl w:val="0"/>
          <w:numId w:val="0"/>
        </w:numPr>
        <w:spacing w:before="0" w:after="0" w:line="360" w:lineRule="auto"/>
        <w:ind w:firstLine="480"/>
        <w:jc w:val="left"/>
        <w:rPr>
          <w:rFonts w:hint="eastAsia" w:ascii="黑体" w:hAnsi="黑体" w:eastAsia="黑体" w:cs="宋体"/>
          <w:b w:val="0"/>
          <w:bCs w:val="0"/>
          <w:color w:val="000000"/>
          <w:sz w:val="24"/>
          <w:szCs w:val="24"/>
        </w:rPr>
      </w:pPr>
      <w:r>
        <w:rPr>
          <w:rFonts w:hint="eastAsia" w:ascii="黑体" w:hAnsi="黑体" w:eastAsia="黑体" w:cs="宋体"/>
          <w:b w:val="0"/>
          <w:bCs w:val="0"/>
          <w:color w:val="000000"/>
          <w:sz w:val="24"/>
          <w:szCs w:val="24"/>
          <w:lang w:val="en-US" w:eastAsia="zh-CN"/>
        </w:rPr>
        <w:t>四、</w:t>
      </w:r>
      <w:r>
        <w:rPr>
          <w:rFonts w:hint="eastAsia" w:ascii="黑体" w:hAnsi="黑体" w:eastAsia="黑体" w:cs="宋体"/>
          <w:b w:val="0"/>
          <w:bCs w:val="0"/>
          <w:color w:val="000000"/>
          <w:sz w:val="24"/>
          <w:szCs w:val="24"/>
        </w:rPr>
        <w:t>框架协议的报价要求</w:t>
      </w:r>
    </w:p>
    <w:p w14:paraId="65F5BD46">
      <w:pPr>
        <w:widowControl/>
        <w:spacing w:line="360" w:lineRule="auto"/>
        <w:ind w:firstLine="420"/>
        <w:jc w:val="left"/>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响应报价一次报定，包括承包期内物业管理服务需要的服务</w:t>
      </w:r>
      <w:r>
        <w:rPr>
          <w:rFonts w:hint="eastAsia" w:ascii="宋体" w:hAnsi="宋体" w:eastAsia="宋体" w:cs="宋体"/>
          <w:color w:val="auto"/>
          <w:sz w:val="24"/>
          <w:szCs w:val="24"/>
          <w:lang w:val="en-US" w:eastAsia="zh-CN"/>
        </w:rPr>
        <w:t>人员岗位工资、五险一金、</w:t>
      </w:r>
      <w:r>
        <w:rPr>
          <w:rFonts w:hint="eastAsia" w:ascii="宋体" w:hAnsi="宋体" w:eastAsia="宋体" w:cs="宋体"/>
          <w:color w:val="auto"/>
          <w:sz w:val="24"/>
          <w:szCs w:val="24"/>
        </w:rPr>
        <w:t>福利、保险、利润、税金、</w:t>
      </w:r>
      <w:r>
        <w:rPr>
          <w:rFonts w:hint="eastAsia" w:ascii="宋体" w:hAnsi="宋体" w:eastAsia="宋体" w:cs="宋体"/>
          <w:color w:val="auto"/>
          <w:sz w:val="24"/>
          <w:szCs w:val="24"/>
          <w:lang w:val="en-US" w:eastAsia="zh-CN"/>
        </w:rPr>
        <w:t>低值</w:t>
      </w:r>
      <w:r>
        <w:rPr>
          <w:rFonts w:hint="eastAsia" w:ascii="宋体" w:hAnsi="宋体" w:eastAsia="宋体" w:cs="Times New Roman"/>
          <w:bCs/>
          <w:color w:val="auto"/>
          <w:sz w:val="24"/>
          <w:szCs w:val="24"/>
        </w:rPr>
        <w:t>易耗品</w:t>
      </w:r>
      <w:r>
        <w:rPr>
          <w:rFonts w:hint="eastAsia" w:ascii="宋体" w:hAnsi="宋体" w:eastAsia="宋体" w:cs="宋体"/>
          <w:color w:val="auto"/>
          <w:sz w:val="24"/>
          <w:szCs w:val="24"/>
        </w:rPr>
        <w:t>、政策性文件规定及合同包含的所有风险、责任等各项应有费用。</w:t>
      </w:r>
      <w:r>
        <w:rPr>
          <w:rFonts w:hint="eastAsia" w:ascii="宋体" w:hAnsi="宋体" w:eastAsia="宋体" w:cs="Times New Roman"/>
          <w:color w:val="auto"/>
          <w:sz w:val="24"/>
          <w:szCs w:val="24"/>
        </w:rPr>
        <w:t>投标人应当充分考虑服务内容及价格，保障本项目的服务品质。</w:t>
      </w:r>
    </w:p>
    <w:p w14:paraId="3299AC81">
      <w:pPr>
        <w:widowControl/>
        <w:spacing w:line="360" w:lineRule="auto"/>
        <w:ind w:firstLine="420"/>
        <w:jc w:val="left"/>
        <w:rPr>
          <w:rFonts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ascii="宋体" w:hAnsi="宋体" w:eastAsia="宋体" w:cs="宋体"/>
          <w:color w:val="auto"/>
          <w:sz w:val="24"/>
          <w:szCs w:val="24"/>
        </w:rPr>
        <w:t>中标单位必须按照《劳动法》及</w:t>
      </w:r>
      <w:r>
        <w:rPr>
          <w:rFonts w:hint="eastAsia" w:ascii="宋体" w:hAnsi="宋体" w:eastAsia="宋体" w:cs="宋体"/>
          <w:color w:val="auto"/>
          <w:sz w:val="24"/>
          <w:szCs w:val="24"/>
        </w:rPr>
        <w:t>相关</w:t>
      </w:r>
      <w:r>
        <w:rPr>
          <w:rFonts w:ascii="宋体" w:hAnsi="宋体" w:eastAsia="宋体" w:cs="宋体"/>
          <w:color w:val="auto"/>
          <w:sz w:val="24"/>
          <w:szCs w:val="24"/>
        </w:rPr>
        <w:t>规定配置工作人员数量，并支付工资、国假加班费和交纳正常的社会保险</w:t>
      </w:r>
      <w:r>
        <w:rPr>
          <w:rFonts w:hint="eastAsia" w:ascii="宋体" w:hAnsi="宋体" w:eastAsia="宋体" w:cs="宋体"/>
          <w:color w:val="auto"/>
          <w:sz w:val="24"/>
          <w:szCs w:val="24"/>
        </w:rPr>
        <w:t>；</w:t>
      </w:r>
      <w:r>
        <w:rPr>
          <w:rFonts w:ascii="宋体" w:hAnsi="宋体" w:eastAsia="宋体" w:cs="宋体"/>
          <w:color w:val="auto"/>
          <w:sz w:val="24"/>
          <w:szCs w:val="24"/>
        </w:rPr>
        <w:t>正常工作时间以外的加班费、法定节日的加班费按国家有关规定执行，投标单位须考虑在内。</w:t>
      </w:r>
    </w:p>
    <w:p w14:paraId="03DBB042">
      <w:pPr>
        <w:pStyle w:val="10"/>
        <w:spacing w:line="360" w:lineRule="auto"/>
        <w:ind w:firstLine="480"/>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3.中标人的用工要符合国家的相关规定，必须与招聘人员签订用工合同，并将合同复印件报给采购人，中标人派遣外包人员到采购人工作要出具介绍信或派工单，不得派遣内病退、退休人员，中标人要按照国家相关法律规定为招聘人员缴纳各项社会保险，每月缴纳的各项保险复印件要报给采购人；月工资收入不得低于当地政府最低工资标准。如未按照国家相关法律规定为招聘人员缴纳各项保险，发生任何的经济、法律纠纷和人身损害赔偿等，由中标人自行解决。因物业人员的责任造成业主财产损失的，由中标人负责赔偿。</w:t>
      </w:r>
    </w:p>
    <w:p w14:paraId="76E35BA0">
      <w:pPr>
        <w:pStyle w:val="10"/>
        <w:spacing w:line="360" w:lineRule="auto"/>
        <w:ind w:firstLine="480"/>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4.服务人</w:t>
      </w:r>
      <w:r>
        <w:rPr>
          <w:rFonts w:hint="eastAsia" w:ascii="宋体" w:hAnsi="宋体" w:cs="宋体"/>
          <w:color w:val="auto"/>
          <w:sz w:val="24"/>
          <w:szCs w:val="24"/>
          <w:highlight w:val="none"/>
          <w:lang w:val="en-US" w:eastAsia="zh-CN"/>
        </w:rPr>
        <w:t>员最高限价要求</w:t>
      </w:r>
    </w:p>
    <w:tbl>
      <w:tblPr>
        <w:tblStyle w:val="8"/>
        <w:tblW w:w="0" w:type="auto"/>
        <w:tblInd w:w="119"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fixed"/>
        <w:tblCellMar>
          <w:top w:w="0" w:type="dxa"/>
          <w:left w:w="108" w:type="dxa"/>
          <w:bottom w:w="0" w:type="dxa"/>
          <w:right w:w="108" w:type="dxa"/>
        </w:tblCellMar>
      </w:tblPr>
      <w:tblGrid>
        <w:gridCol w:w="795"/>
        <w:gridCol w:w="3870"/>
        <w:gridCol w:w="4279"/>
      </w:tblGrid>
      <w:tr w14:paraId="3F486064">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454" w:hRule="atLeast"/>
        </w:trPr>
        <w:tc>
          <w:tcPr>
            <w:tcW w:w="795"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53DFC3E">
            <w:pPr>
              <w:pBdr>
                <w:top w:val="none" w:color="000000" w:sz="0" w:space="0"/>
                <w:left w:val="none" w:color="000000" w:sz="0" w:space="0"/>
                <w:bottom w:val="none" w:color="000000" w:sz="0" w:space="0"/>
                <w:right w:val="none" w:color="000000" w:sz="0" w:space="0"/>
              </w:pBdr>
              <w:spacing w:line="85" w:lineRule="atLeast"/>
              <w:jc w:val="center"/>
            </w:pPr>
            <w:r>
              <w:rPr>
                <w:rFonts w:ascii="宋体" w:hAnsi="宋体" w:cs="宋体"/>
                <w:b/>
                <w:color w:val="000000"/>
              </w:rPr>
              <w:t>序号</w:t>
            </w:r>
          </w:p>
        </w:tc>
        <w:tc>
          <w:tcPr>
            <w:tcW w:w="3870" w:type="dxa"/>
            <w:tcBorders>
              <w:top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D253B3B">
            <w:pPr>
              <w:pBdr>
                <w:top w:val="none" w:color="000000" w:sz="0" w:space="0"/>
                <w:left w:val="none" w:color="000000" w:sz="0" w:space="0"/>
                <w:bottom w:val="none" w:color="000000" w:sz="0" w:space="0"/>
                <w:right w:val="none" w:color="000000" w:sz="0" w:space="0"/>
              </w:pBdr>
              <w:spacing w:line="85" w:lineRule="atLeast"/>
              <w:jc w:val="center"/>
            </w:pPr>
            <w:r>
              <w:rPr>
                <w:rFonts w:ascii="宋体" w:hAnsi="宋体" w:cs="宋体"/>
                <w:b/>
                <w:color w:val="000000"/>
              </w:rPr>
              <w:t>岗位名称</w:t>
            </w:r>
          </w:p>
        </w:tc>
        <w:tc>
          <w:tcPr>
            <w:tcW w:w="4279" w:type="dxa"/>
            <w:tcBorders>
              <w:top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43BA4D0">
            <w:pPr>
              <w:pBdr>
                <w:top w:val="none" w:color="000000" w:sz="0" w:space="0"/>
                <w:left w:val="none" w:color="000000" w:sz="0" w:space="0"/>
                <w:bottom w:val="none" w:color="000000" w:sz="0" w:space="0"/>
                <w:right w:val="none" w:color="000000" w:sz="0" w:space="0"/>
              </w:pBdr>
              <w:spacing w:line="85" w:lineRule="atLeast"/>
              <w:jc w:val="center"/>
            </w:pPr>
            <w:r>
              <w:rPr>
                <w:rFonts w:ascii="宋体" w:hAnsi="宋体" w:cs="宋体"/>
                <w:b/>
                <w:color w:val="000000"/>
              </w:rPr>
              <w:t>最高限价（元/人/月）</w:t>
            </w:r>
          </w:p>
        </w:tc>
      </w:tr>
      <w:tr w14:paraId="1B258003">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454" w:hRule="atLeast"/>
        </w:trPr>
        <w:tc>
          <w:tcPr>
            <w:tcW w:w="795" w:type="dxa"/>
            <w:tcBorders>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338DD55">
            <w:pPr>
              <w:pBdr>
                <w:top w:val="none" w:color="000000" w:sz="0" w:space="0"/>
                <w:left w:val="none" w:color="000000" w:sz="0" w:space="0"/>
                <w:bottom w:val="none" w:color="000000" w:sz="0" w:space="0"/>
                <w:right w:val="none" w:color="000000" w:sz="0" w:space="0"/>
              </w:pBdr>
              <w:spacing w:line="85" w:lineRule="atLeast"/>
              <w:jc w:val="center"/>
            </w:pPr>
            <w:r>
              <w:rPr>
                <w:rFonts w:ascii="宋体" w:hAnsi="宋体" w:cs="宋体"/>
                <w:color w:val="000000"/>
              </w:rPr>
              <w:t>1</w:t>
            </w:r>
          </w:p>
        </w:tc>
        <w:tc>
          <w:tcPr>
            <w:tcW w:w="3870" w:type="dxa"/>
            <w:tcBorders>
              <w:bottom w:val="single" w:color="000000" w:sz="8" w:space="0"/>
              <w:right w:val="single" w:color="000000" w:sz="8" w:space="0"/>
            </w:tcBorders>
            <w:noWrap w:val="0"/>
            <w:tcMar>
              <w:top w:w="0" w:type="dxa"/>
              <w:left w:w="108" w:type="dxa"/>
              <w:bottom w:w="0" w:type="dxa"/>
              <w:right w:w="108" w:type="dxa"/>
            </w:tcMar>
            <w:vAlign w:val="center"/>
          </w:tcPr>
          <w:p w14:paraId="52BB24A3">
            <w:pPr>
              <w:pBdr>
                <w:top w:val="none" w:color="000000" w:sz="0" w:space="0"/>
                <w:left w:val="none" w:color="000000" w:sz="0" w:space="0"/>
                <w:bottom w:val="none" w:color="000000" w:sz="0" w:space="0"/>
                <w:right w:val="none" w:color="000000" w:sz="0" w:space="0"/>
              </w:pBdr>
              <w:spacing w:line="85" w:lineRule="atLeast"/>
              <w:jc w:val="center"/>
            </w:pPr>
            <w:r>
              <w:rPr>
                <w:rFonts w:ascii="宋体" w:hAnsi="宋体" w:cs="宋体"/>
                <w:color w:val="000000"/>
              </w:rPr>
              <w:t>项目经理</w:t>
            </w:r>
          </w:p>
        </w:tc>
        <w:tc>
          <w:tcPr>
            <w:tcW w:w="4279" w:type="dxa"/>
            <w:tcBorders>
              <w:bottom w:val="single" w:color="000000" w:sz="8" w:space="0"/>
              <w:right w:val="single" w:color="000000" w:sz="8" w:space="0"/>
            </w:tcBorders>
            <w:noWrap w:val="0"/>
            <w:tcMar>
              <w:top w:w="0" w:type="dxa"/>
              <w:left w:w="108" w:type="dxa"/>
              <w:bottom w:w="0" w:type="dxa"/>
              <w:right w:w="108" w:type="dxa"/>
            </w:tcMar>
            <w:vAlign w:val="center"/>
          </w:tcPr>
          <w:p w14:paraId="02AFBB17">
            <w:pPr>
              <w:pBdr>
                <w:top w:val="none" w:color="000000" w:sz="0" w:space="0"/>
                <w:left w:val="none" w:color="000000" w:sz="0" w:space="0"/>
                <w:bottom w:val="none" w:color="000000" w:sz="0" w:space="0"/>
                <w:right w:val="none" w:color="000000" w:sz="0" w:space="0"/>
              </w:pBdr>
              <w:spacing w:line="85" w:lineRule="atLeast"/>
              <w:jc w:val="center"/>
            </w:pPr>
            <w:r>
              <w:rPr>
                <w:rFonts w:hint="eastAsia" w:ascii="宋体" w:hAnsi="宋体" w:cs="宋体"/>
                <w:color w:val="000000"/>
                <w:lang w:val="en-US" w:eastAsia="zh-CN"/>
              </w:rPr>
              <w:t>78</w:t>
            </w:r>
            <w:r>
              <w:rPr>
                <w:rFonts w:hint="eastAsia" w:ascii="宋体" w:hAnsi="宋体" w:cs="宋体"/>
                <w:color w:val="000000"/>
              </w:rPr>
              <w:t>00</w:t>
            </w:r>
          </w:p>
        </w:tc>
      </w:tr>
      <w:tr w14:paraId="413521E7">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454" w:hRule="atLeast"/>
        </w:trPr>
        <w:tc>
          <w:tcPr>
            <w:tcW w:w="795" w:type="dxa"/>
            <w:tcBorders>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156420A">
            <w:pPr>
              <w:pBdr>
                <w:top w:val="none" w:color="000000" w:sz="0" w:space="0"/>
                <w:left w:val="none" w:color="000000" w:sz="0" w:space="0"/>
                <w:bottom w:val="none" w:color="000000" w:sz="0" w:space="0"/>
                <w:right w:val="none" w:color="000000" w:sz="0" w:space="0"/>
              </w:pBdr>
              <w:spacing w:line="85" w:lineRule="atLeast"/>
              <w:jc w:val="center"/>
              <w:rPr>
                <w:rFonts w:hint="eastAsia" w:ascii="宋体" w:hAnsi="宋体" w:cs="宋体" w:eastAsiaTheme="minorEastAsia"/>
                <w:color w:val="000000"/>
                <w:lang w:val="en-US" w:eastAsia="zh-CN"/>
              </w:rPr>
            </w:pPr>
            <w:r>
              <w:rPr>
                <w:rFonts w:hint="eastAsia" w:ascii="宋体" w:hAnsi="宋体" w:cs="宋体"/>
                <w:color w:val="000000"/>
                <w:lang w:val="en-US" w:eastAsia="zh-CN"/>
              </w:rPr>
              <w:t>2</w:t>
            </w:r>
          </w:p>
        </w:tc>
        <w:tc>
          <w:tcPr>
            <w:tcW w:w="3870" w:type="dxa"/>
            <w:tcBorders>
              <w:bottom w:val="single" w:color="000000" w:sz="8" w:space="0"/>
              <w:right w:val="single" w:color="000000" w:sz="8" w:space="0"/>
            </w:tcBorders>
            <w:noWrap w:val="0"/>
            <w:tcMar>
              <w:top w:w="0" w:type="dxa"/>
              <w:left w:w="108" w:type="dxa"/>
              <w:bottom w:w="0" w:type="dxa"/>
              <w:right w:w="108" w:type="dxa"/>
            </w:tcMar>
            <w:vAlign w:val="center"/>
          </w:tcPr>
          <w:p w14:paraId="050157FA">
            <w:pPr>
              <w:pBdr>
                <w:top w:val="none" w:color="000000" w:sz="0" w:space="0"/>
                <w:left w:val="none" w:color="000000" w:sz="0" w:space="0"/>
                <w:bottom w:val="none" w:color="000000" w:sz="0" w:space="0"/>
                <w:right w:val="none" w:color="000000" w:sz="0" w:space="0"/>
              </w:pBdr>
              <w:spacing w:line="85" w:lineRule="atLeast"/>
              <w:jc w:val="center"/>
              <w:rPr>
                <w:rFonts w:hint="eastAsia" w:ascii="宋体" w:hAnsi="宋体" w:cs="宋体" w:eastAsiaTheme="minorEastAsia"/>
                <w:color w:val="000000"/>
                <w:lang w:val="en-US" w:eastAsia="zh-CN"/>
              </w:rPr>
            </w:pPr>
            <w:r>
              <w:rPr>
                <w:rFonts w:hint="eastAsia" w:ascii="宋体" w:hAnsi="宋体" w:cs="宋体"/>
                <w:color w:val="000000"/>
                <w:lang w:val="en-US" w:eastAsia="zh-CN"/>
              </w:rPr>
              <w:t>消防监控</w:t>
            </w:r>
          </w:p>
        </w:tc>
        <w:tc>
          <w:tcPr>
            <w:tcW w:w="4279" w:type="dxa"/>
            <w:tcBorders>
              <w:bottom w:val="single" w:color="000000" w:sz="8" w:space="0"/>
              <w:right w:val="single" w:color="000000" w:sz="8" w:space="0"/>
            </w:tcBorders>
            <w:noWrap w:val="0"/>
            <w:tcMar>
              <w:top w:w="0" w:type="dxa"/>
              <w:left w:w="108" w:type="dxa"/>
              <w:bottom w:w="0" w:type="dxa"/>
              <w:right w:w="108" w:type="dxa"/>
            </w:tcMar>
            <w:vAlign w:val="center"/>
          </w:tcPr>
          <w:p w14:paraId="3BA3706F">
            <w:pPr>
              <w:pBdr>
                <w:top w:val="none" w:color="000000" w:sz="0" w:space="0"/>
                <w:left w:val="none" w:color="000000" w:sz="0" w:space="0"/>
                <w:bottom w:val="none" w:color="000000" w:sz="0" w:space="0"/>
                <w:right w:val="none" w:color="000000" w:sz="0" w:space="0"/>
              </w:pBdr>
              <w:spacing w:line="85" w:lineRule="atLeast"/>
              <w:jc w:val="center"/>
              <w:rPr>
                <w:rFonts w:hint="default" w:ascii="宋体" w:hAnsi="宋体" w:cs="宋体"/>
                <w:color w:val="000000"/>
                <w:lang w:val="en-US" w:eastAsia="zh-CN"/>
              </w:rPr>
            </w:pPr>
            <w:r>
              <w:rPr>
                <w:rFonts w:hint="eastAsia" w:ascii="宋体" w:hAnsi="宋体" w:cs="宋体"/>
                <w:color w:val="000000"/>
                <w:lang w:val="en-US" w:eastAsia="zh-CN"/>
              </w:rPr>
              <w:t>5800</w:t>
            </w:r>
          </w:p>
        </w:tc>
      </w:tr>
      <w:tr w14:paraId="3C7B68FE">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454" w:hRule="atLeast"/>
        </w:trPr>
        <w:tc>
          <w:tcPr>
            <w:tcW w:w="795" w:type="dxa"/>
            <w:tcBorders>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136C232">
            <w:pPr>
              <w:pBdr>
                <w:top w:val="none" w:color="000000" w:sz="0" w:space="0"/>
                <w:left w:val="none" w:color="000000" w:sz="0" w:space="0"/>
                <w:bottom w:val="none" w:color="000000" w:sz="0" w:space="0"/>
                <w:right w:val="none" w:color="000000" w:sz="0" w:space="0"/>
              </w:pBdr>
              <w:spacing w:line="85" w:lineRule="atLeast"/>
              <w:jc w:val="center"/>
              <w:rPr>
                <w:rFonts w:hint="eastAsia" w:eastAsiaTheme="minorEastAsia"/>
                <w:lang w:eastAsia="zh-CN"/>
              </w:rPr>
            </w:pPr>
            <w:r>
              <w:rPr>
                <w:rFonts w:hint="eastAsia" w:ascii="宋体" w:hAnsi="宋体" w:cs="宋体"/>
                <w:color w:val="000000"/>
                <w:lang w:val="en-US" w:eastAsia="zh-CN"/>
              </w:rPr>
              <w:t>3</w:t>
            </w:r>
          </w:p>
        </w:tc>
        <w:tc>
          <w:tcPr>
            <w:tcW w:w="3870" w:type="dxa"/>
            <w:tcBorders>
              <w:bottom w:val="single" w:color="000000" w:sz="8" w:space="0"/>
              <w:right w:val="single" w:color="000000" w:sz="8" w:space="0"/>
            </w:tcBorders>
            <w:noWrap w:val="0"/>
            <w:tcMar>
              <w:top w:w="0" w:type="dxa"/>
              <w:left w:w="108" w:type="dxa"/>
              <w:bottom w:w="0" w:type="dxa"/>
              <w:right w:w="108" w:type="dxa"/>
            </w:tcMar>
            <w:vAlign w:val="center"/>
          </w:tcPr>
          <w:p w14:paraId="503A7CE3">
            <w:pPr>
              <w:pBdr>
                <w:top w:val="none" w:color="000000" w:sz="0" w:space="0"/>
                <w:left w:val="none" w:color="000000" w:sz="0" w:space="0"/>
                <w:bottom w:val="none" w:color="000000" w:sz="0" w:space="0"/>
                <w:right w:val="none" w:color="000000" w:sz="0" w:space="0"/>
              </w:pBdr>
              <w:spacing w:line="85" w:lineRule="atLeast"/>
              <w:jc w:val="center"/>
            </w:pPr>
            <w:r>
              <w:rPr>
                <w:rFonts w:ascii="宋体" w:hAnsi="宋体" w:cs="宋体"/>
                <w:color w:val="000000"/>
              </w:rPr>
              <w:t>秩序维护人员</w:t>
            </w:r>
          </w:p>
        </w:tc>
        <w:tc>
          <w:tcPr>
            <w:tcW w:w="4279" w:type="dxa"/>
            <w:tcBorders>
              <w:bottom w:val="single" w:color="000000" w:sz="8" w:space="0"/>
              <w:right w:val="single" w:color="000000" w:sz="8" w:space="0"/>
            </w:tcBorders>
            <w:noWrap w:val="0"/>
            <w:tcMar>
              <w:top w:w="0" w:type="dxa"/>
              <w:left w:w="108" w:type="dxa"/>
              <w:bottom w:w="0" w:type="dxa"/>
              <w:right w:w="108" w:type="dxa"/>
            </w:tcMar>
            <w:vAlign w:val="center"/>
          </w:tcPr>
          <w:p w14:paraId="20311678">
            <w:pPr>
              <w:pBdr>
                <w:top w:val="none" w:color="000000" w:sz="0" w:space="0"/>
                <w:left w:val="none" w:color="000000" w:sz="0" w:space="0"/>
                <w:bottom w:val="none" w:color="000000" w:sz="0" w:space="0"/>
                <w:right w:val="none" w:color="000000" w:sz="0" w:space="0"/>
              </w:pBdr>
              <w:spacing w:line="85" w:lineRule="atLeast"/>
              <w:jc w:val="center"/>
            </w:pPr>
            <w:r>
              <w:rPr>
                <w:rFonts w:hint="eastAsia" w:ascii="宋体" w:hAnsi="宋体" w:cs="宋体"/>
                <w:color w:val="000000"/>
                <w:lang w:val="en-US" w:eastAsia="zh-CN"/>
              </w:rPr>
              <w:t>530</w:t>
            </w:r>
            <w:r>
              <w:rPr>
                <w:rFonts w:hint="eastAsia" w:ascii="宋体" w:hAnsi="宋体" w:cs="宋体"/>
                <w:color w:val="000000"/>
              </w:rPr>
              <w:t>0</w:t>
            </w:r>
          </w:p>
        </w:tc>
      </w:tr>
      <w:tr w14:paraId="762D4DCB">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454" w:hRule="atLeast"/>
        </w:trPr>
        <w:tc>
          <w:tcPr>
            <w:tcW w:w="795" w:type="dxa"/>
            <w:tcBorders>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0BB9F03">
            <w:pPr>
              <w:pBdr>
                <w:top w:val="none" w:color="000000" w:sz="0" w:space="0"/>
                <w:left w:val="none" w:color="000000" w:sz="0" w:space="0"/>
                <w:bottom w:val="none" w:color="000000" w:sz="0" w:space="0"/>
                <w:right w:val="none" w:color="000000" w:sz="0" w:space="0"/>
              </w:pBdr>
              <w:spacing w:line="85" w:lineRule="atLeast"/>
              <w:jc w:val="center"/>
              <w:rPr>
                <w:rFonts w:hint="eastAsia" w:eastAsiaTheme="minorEastAsia"/>
                <w:lang w:eastAsia="zh-CN"/>
              </w:rPr>
            </w:pPr>
            <w:r>
              <w:rPr>
                <w:rFonts w:hint="eastAsia" w:ascii="宋体" w:hAnsi="宋体" w:cs="宋体"/>
                <w:color w:val="000000"/>
                <w:lang w:val="en-US" w:eastAsia="zh-CN"/>
              </w:rPr>
              <w:t>4</w:t>
            </w:r>
          </w:p>
        </w:tc>
        <w:tc>
          <w:tcPr>
            <w:tcW w:w="3870" w:type="dxa"/>
            <w:tcBorders>
              <w:bottom w:val="single" w:color="000000" w:sz="8" w:space="0"/>
              <w:right w:val="single" w:color="000000" w:sz="8" w:space="0"/>
            </w:tcBorders>
            <w:noWrap w:val="0"/>
            <w:tcMar>
              <w:top w:w="0" w:type="dxa"/>
              <w:left w:w="108" w:type="dxa"/>
              <w:bottom w:w="0" w:type="dxa"/>
              <w:right w:w="108" w:type="dxa"/>
            </w:tcMar>
            <w:vAlign w:val="center"/>
          </w:tcPr>
          <w:p w14:paraId="5B2740E1">
            <w:pPr>
              <w:pBdr>
                <w:top w:val="none" w:color="000000" w:sz="0" w:space="0"/>
                <w:left w:val="none" w:color="000000" w:sz="0" w:space="0"/>
                <w:bottom w:val="none" w:color="000000" w:sz="0" w:space="0"/>
                <w:right w:val="none" w:color="000000" w:sz="0" w:space="0"/>
              </w:pBdr>
              <w:spacing w:line="85" w:lineRule="atLeast"/>
              <w:jc w:val="center"/>
            </w:pPr>
            <w:r>
              <w:rPr>
                <w:rFonts w:ascii="宋体" w:hAnsi="宋体" w:cs="宋体"/>
                <w:color w:val="000000"/>
              </w:rPr>
              <w:t>保洁人员</w:t>
            </w:r>
          </w:p>
        </w:tc>
        <w:tc>
          <w:tcPr>
            <w:tcW w:w="4279" w:type="dxa"/>
            <w:tcBorders>
              <w:bottom w:val="single" w:color="000000" w:sz="8" w:space="0"/>
              <w:right w:val="single" w:color="000000" w:sz="8" w:space="0"/>
            </w:tcBorders>
            <w:noWrap w:val="0"/>
            <w:tcMar>
              <w:top w:w="0" w:type="dxa"/>
              <w:left w:w="108" w:type="dxa"/>
              <w:bottom w:w="0" w:type="dxa"/>
              <w:right w:w="108" w:type="dxa"/>
            </w:tcMar>
            <w:vAlign w:val="center"/>
          </w:tcPr>
          <w:p w14:paraId="4E8FB6C0">
            <w:pPr>
              <w:pBdr>
                <w:top w:val="none" w:color="000000" w:sz="0" w:space="0"/>
                <w:left w:val="none" w:color="000000" w:sz="0" w:space="0"/>
                <w:bottom w:val="none" w:color="000000" w:sz="0" w:space="0"/>
                <w:right w:val="none" w:color="000000" w:sz="0" w:space="0"/>
              </w:pBdr>
              <w:spacing w:line="85" w:lineRule="atLeast"/>
              <w:jc w:val="center"/>
            </w:pPr>
            <w:r>
              <w:rPr>
                <w:rFonts w:hint="eastAsia" w:ascii="宋体" w:hAnsi="宋体" w:cs="宋体"/>
                <w:color w:val="000000"/>
                <w:lang w:val="en-US" w:eastAsia="zh-CN"/>
              </w:rPr>
              <w:t>48</w:t>
            </w:r>
            <w:r>
              <w:rPr>
                <w:rFonts w:ascii="宋体" w:hAnsi="宋体" w:cs="宋体"/>
                <w:color w:val="000000"/>
              </w:rPr>
              <w:t>00</w:t>
            </w:r>
          </w:p>
        </w:tc>
      </w:tr>
      <w:tr w14:paraId="00268425">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454" w:hRule="atLeast"/>
        </w:trPr>
        <w:tc>
          <w:tcPr>
            <w:tcW w:w="795" w:type="dxa"/>
            <w:tcBorders>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56B8B38">
            <w:pPr>
              <w:pBdr>
                <w:top w:val="none" w:color="000000" w:sz="0" w:space="0"/>
                <w:left w:val="none" w:color="000000" w:sz="0" w:space="0"/>
                <w:bottom w:val="none" w:color="000000" w:sz="0" w:space="0"/>
                <w:right w:val="none" w:color="000000" w:sz="0" w:space="0"/>
              </w:pBdr>
              <w:spacing w:line="85" w:lineRule="atLeast"/>
              <w:jc w:val="center"/>
              <w:rPr>
                <w:rFonts w:hint="eastAsia" w:eastAsiaTheme="minorEastAsia"/>
                <w:lang w:eastAsia="zh-CN"/>
              </w:rPr>
            </w:pPr>
            <w:r>
              <w:rPr>
                <w:rFonts w:hint="eastAsia" w:ascii="宋体" w:hAnsi="宋体" w:cs="宋体"/>
                <w:color w:val="000000"/>
                <w:lang w:val="en-US" w:eastAsia="zh-CN"/>
              </w:rPr>
              <w:t>5</w:t>
            </w:r>
          </w:p>
        </w:tc>
        <w:tc>
          <w:tcPr>
            <w:tcW w:w="3870" w:type="dxa"/>
            <w:tcBorders>
              <w:bottom w:val="single" w:color="000000" w:sz="8" w:space="0"/>
              <w:right w:val="single" w:color="000000" w:sz="8" w:space="0"/>
            </w:tcBorders>
            <w:noWrap w:val="0"/>
            <w:tcMar>
              <w:top w:w="0" w:type="dxa"/>
              <w:left w:w="108" w:type="dxa"/>
              <w:bottom w:w="0" w:type="dxa"/>
              <w:right w:w="108" w:type="dxa"/>
            </w:tcMar>
            <w:vAlign w:val="center"/>
          </w:tcPr>
          <w:p w14:paraId="11CA4566">
            <w:pPr>
              <w:pBdr>
                <w:top w:val="none" w:color="000000" w:sz="0" w:space="0"/>
                <w:left w:val="none" w:color="000000" w:sz="0" w:space="0"/>
                <w:bottom w:val="none" w:color="000000" w:sz="0" w:space="0"/>
                <w:right w:val="none" w:color="000000" w:sz="0" w:space="0"/>
              </w:pBdr>
              <w:spacing w:line="85" w:lineRule="atLeast"/>
              <w:jc w:val="center"/>
            </w:pPr>
            <w:r>
              <w:rPr>
                <w:rFonts w:ascii="宋体" w:hAnsi="宋体" w:cs="宋体"/>
                <w:color w:val="000000"/>
              </w:rPr>
              <w:t>接待（客服）</w:t>
            </w:r>
          </w:p>
        </w:tc>
        <w:tc>
          <w:tcPr>
            <w:tcW w:w="4279" w:type="dxa"/>
            <w:tcBorders>
              <w:bottom w:val="single" w:color="000000" w:sz="8" w:space="0"/>
              <w:right w:val="single" w:color="000000" w:sz="8" w:space="0"/>
            </w:tcBorders>
            <w:noWrap w:val="0"/>
            <w:tcMar>
              <w:top w:w="0" w:type="dxa"/>
              <w:left w:w="108" w:type="dxa"/>
              <w:bottom w:w="0" w:type="dxa"/>
              <w:right w:w="108" w:type="dxa"/>
            </w:tcMar>
            <w:vAlign w:val="center"/>
          </w:tcPr>
          <w:p w14:paraId="187C63D1">
            <w:pPr>
              <w:pBdr>
                <w:top w:val="none" w:color="000000" w:sz="0" w:space="0"/>
                <w:left w:val="none" w:color="000000" w:sz="0" w:space="0"/>
                <w:bottom w:val="none" w:color="000000" w:sz="0" w:space="0"/>
                <w:right w:val="none" w:color="000000" w:sz="0" w:space="0"/>
              </w:pBdr>
              <w:spacing w:line="85" w:lineRule="atLeast"/>
              <w:jc w:val="center"/>
            </w:pPr>
            <w:r>
              <w:rPr>
                <w:rFonts w:hint="eastAsia" w:ascii="宋体" w:hAnsi="宋体" w:cs="宋体"/>
                <w:color w:val="000000"/>
                <w:lang w:val="en-US" w:eastAsia="zh-CN"/>
              </w:rPr>
              <w:t>48</w:t>
            </w:r>
            <w:r>
              <w:rPr>
                <w:rFonts w:ascii="宋体" w:hAnsi="宋体" w:cs="宋体"/>
                <w:color w:val="000000"/>
              </w:rPr>
              <w:t>00</w:t>
            </w:r>
          </w:p>
        </w:tc>
      </w:tr>
      <w:tr w14:paraId="503A3262">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454" w:hRule="atLeast"/>
        </w:trPr>
        <w:tc>
          <w:tcPr>
            <w:tcW w:w="795" w:type="dxa"/>
            <w:tcBorders>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B14A503">
            <w:pPr>
              <w:pBdr>
                <w:top w:val="none" w:color="000000" w:sz="0" w:space="0"/>
                <w:left w:val="none" w:color="000000" w:sz="0" w:space="0"/>
                <w:bottom w:val="none" w:color="000000" w:sz="0" w:space="0"/>
                <w:right w:val="none" w:color="000000" w:sz="0" w:space="0"/>
              </w:pBdr>
              <w:spacing w:line="85" w:lineRule="atLeast"/>
              <w:jc w:val="center"/>
              <w:rPr>
                <w:rFonts w:hint="eastAsia" w:eastAsiaTheme="minorEastAsia"/>
                <w:lang w:eastAsia="zh-CN"/>
              </w:rPr>
            </w:pPr>
            <w:r>
              <w:rPr>
                <w:rFonts w:hint="eastAsia" w:ascii="宋体" w:hAnsi="宋体" w:cs="宋体"/>
                <w:color w:val="000000"/>
                <w:lang w:val="en-US" w:eastAsia="zh-CN"/>
              </w:rPr>
              <w:t>6</w:t>
            </w:r>
          </w:p>
        </w:tc>
        <w:tc>
          <w:tcPr>
            <w:tcW w:w="3870" w:type="dxa"/>
            <w:tcBorders>
              <w:bottom w:val="single" w:color="000000" w:sz="8" w:space="0"/>
              <w:right w:val="single" w:color="000000" w:sz="8" w:space="0"/>
            </w:tcBorders>
            <w:noWrap w:val="0"/>
            <w:tcMar>
              <w:top w:w="0" w:type="dxa"/>
              <w:left w:w="108" w:type="dxa"/>
              <w:bottom w:w="0" w:type="dxa"/>
              <w:right w:w="108" w:type="dxa"/>
            </w:tcMar>
            <w:vAlign w:val="center"/>
          </w:tcPr>
          <w:p w14:paraId="3D7A6E39">
            <w:pPr>
              <w:pBdr>
                <w:top w:val="none" w:color="000000" w:sz="0" w:space="0"/>
                <w:left w:val="none" w:color="000000" w:sz="0" w:space="0"/>
                <w:bottom w:val="none" w:color="000000" w:sz="0" w:space="0"/>
                <w:right w:val="none" w:color="000000" w:sz="0" w:space="0"/>
              </w:pBdr>
              <w:spacing w:line="85" w:lineRule="atLeast"/>
              <w:jc w:val="center"/>
            </w:pPr>
            <w:r>
              <w:rPr>
                <w:rFonts w:ascii="宋体" w:hAnsi="宋体" w:cs="宋体"/>
                <w:color w:val="000000"/>
              </w:rPr>
              <w:t>维修人员</w:t>
            </w:r>
          </w:p>
        </w:tc>
        <w:tc>
          <w:tcPr>
            <w:tcW w:w="4279" w:type="dxa"/>
            <w:tcBorders>
              <w:bottom w:val="single" w:color="000000" w:sz="8" w:space="0"/>
              <w:right w:val="single" w:color="000000" w:sz="8" w:space="0"/>
            </w:tcBorders>
            <w:noWrap w:val="0"/>
            <w:tcMar>
              <w:top w:w="0" w:type="dxa"/>
              <w:left w:w="108" w:type="dxa"/>
              <w:bottom w:w="0" w:type="dxa"/>
              <w:right w:w="108" w:type="dxa"/>
            </w:tcMar>
            <w:vAlign w:val="center"/>
          </w:tcPr>
          <w:p w14:paraId="5206B500">
            <w:pPr>
              <w:pBdr>
                <w:top w:val="none" w:color="000000" w:sz="0" w:space="0"/>
                <w:left w:val="none" w:color="000000" w:sz="0" w:space="0"/>
                <w:bottom w:val="none" w:color="000000" w:sz="0" w:space="0"/>
                <w:right w:val="none" w:color="000000" w:sz="0" w:space="0"/>
              </w:pBdr>
              <w:spacing w:line="85" w:lineRule="atLeast"/>
              <w:jc w:val="center"/>
            </w:pPr>
            <w:r>
              <w:rPr>
                <w:rFonts w:hint="eastAsia" w:ascii="宋体" w:hAnsi="宋体" w:cs="宋体"/>
                <w:color w:val="000000"/>
                <w:lang w:val="en-US" w:eastAsia="zh-CN"/>
              </w:rPr>
              <w:t>53</w:t>
            </w:r>
            <w:r>
              <w:rPr>
                <w:rFonts w:ascii="宋体" w:hAnsi="宋体" w:cs="宋体"/>
                <w:color w:val="000000"/>
              </w:rPr>
              <w:t>00</w:t>
            </w:r>
          </w:p>
        </w:tc>
      </w:tr>
      <w:tr w14:paraId="6A77E314">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454" w:hRule="atLeast"/>
        </w:trPr>
        <w:tc>
          <w:tcPr>
            <w:tcW w:w="795" w:type="dxa"/>
            <w:tcBorders>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716DA90">
            <w:pPr>
              <w:pBdr>
                <w:top w:val="none" w:color="000000" w:sz="0" w:space="0"/>
                <w:left w:val="none" w:color="000000" w:sz="0" w:space="0"/>
                <w:bottom w:val="none" w:color="000000" w:sz="0" w:space="0"/>
                <w:right w:val="none" w:color="000000" w:sz="0" w:space="0"/>
              </w:pBdr>
              <w:spacing w:line="85" w:lineRule="atLeast"/>
              <w:jc w:val="center"/>
              <w:rPr>
                <w:rFonts w:hint="eastAsia" w:eastAsiaTheme="minorEastAsia"/>
                <w:lang w:eastAsia="zh-CN"/>
              </w:rPr>
            </w:pPr>
            <w:r>
              <w:rPr>
                <w:rFonts w:hint="eastAsia" w:ascii="宋体" w:hAnsi="宋体" w:cs="宋体"/>
                <w:color w:val="000000"/>
                <w:lang w:val="en-US" w:eastAsia="zh-CN"/>
              </w:rPr>
              <w:t>7</w:t>
            </w:r>
          </w:p>
        </w:tc>
        <w:tc>
          <w:tcPr>
            <w:tcW w:w="3870" w:type="dxa"/>
            <w:tcBorders>
              <w:bottom w:val="single" w:color="000000" w:sz="8" w:space="0"/>
              <w:right w:val="single" w:color="000000" w:sz="8" w:space="0"/>
            </w:tcBorders>
            <w:noWrap w:val="0"/>
            <w:tcMar>
              <w:top w:w="0" w:type="dxa"/>
              <w:left w:w="108" w:type="dxa"/>
              <w:bottom w:w="0" w:type="dxa"/>
              <w:right w:w="108" w:type="dxa"/>
            </w:tcMar>
            <w:vAlign w:val="center"/>
          </w:tcPr>
          <w:p w14:paraId="69BD4918">
            <w:pPr>
              <w:pBdr>
                <w:top w:val="none" w:color="000000" w:sz="0" w:space="0"/>
                <w:left w:val="none" w:color="000000" w:sz="0" w:space="0"/>
                <w:bottom w:val="none" w:color="000000" w:sz="0" w:space="0"/>
                <w:right w:val="none" w:color="000000" w:sz="0" w:space="0"/>
              </w:pBdr>
              <w:spacing w:line="85" w:lineRule="atLeast"/>
              <w:jc w:val="center"/>
            </w:pPr>
            <w:r>
              <w:rPr>
                <w:rFonts w:ascii="宋体" w:hAnsi="宋体" w:cs="宋体"/>
                <w:color w:val="000000"/>
              </w:rPr>
              <w:t>其他人员（绿化、副厨、勤杂工等）</w:t>
            </w:r>
          </w:p>
        </w:tc>
        <w:tc>
          <w:tcPr>
            <w:tcW w:w="4279" w:type="dxa"/>
            <w:tcBorders>
              <w:bottom w:val="single" w:color="000000" w:sz="8" w:space="0"/>
              <w:right w:val="single" w:color="000000" w:sz="8" w:space="0"/>
            </w:tcBorders>
            <w:noWrap w:val="0"/>
            <w:tcMar>
              <w:top w:w="0" w:type="dxa"/>
              <w:left w:w="108" w:type="dxa"/>
              <w:bottom w:w="0" w:type="dxa"/>
              <w:right w:w="108" w:type="dxa"/>
            </w:tcMar>
            <w:vAlign w:val="center"/>
          </w:tcPr>
          <w:p w14:paraId="7CDFF1A7">
            <w:pPr>
              <w:pBdr>
                <w:top w:val="none" w:color="000000" w:sz="0" w:space="0"/>
                <w:left w:val="none" w:color="000000" w:sz="0" w:space="0"/>
                <w:bottom w:val="none" w:color="000000" w:sz="0" w:space="0"/>
                <w:right w:val="none" w:color="000000" w:sz="0" w:space="0"/>
              </w:pBdr>
              <w:spacing w:line="85" w:lineRule="atLeast"/>
              <w:jc w:val="center"/>
            </w:pPr>
            <w:r>
              <w:rPr>
                <w:rFonts w:hint="eastAsia" w:ascii="宋体" w:hAnsi="宋体" w:cs="宋体"/>
                <w:color w:val="000000"/>
                <w:lang w:val="en-US" w:eastAsia="zh-CN"/>
              </w:rPr>
              <w:t>48</w:t>
            </w:r>
            <w:r>
              <w:rPr>
                <w:rFonts w:ascii="宋体" w:hAnsi="宋体" w:cs="宋体"/>
                <w:color w:val="000000"/>
              </w:rPr>
              <w:t>00</w:t>
            </w:r>
          </w:p>
        </w:tc>
      </w:tr>
    </w:tbl>
    <w:p w14:paraId="533068E4">
      <w:pPr>
        <w:pBdr>
          <w:top w:val="none" w:color="000000" w:sz="0" w:space="0"/>
          <w:left w:val="none" w:color="000000" w:sz="0" w:space="0"/>
          <w:bottom w:val="none" w:color="000000" w:sz="0" w:space="0"/>
          <w:right w:val="none" w:color="000000" w:sz="0" w:space="0"/>
        </w:pBdr>
        <w:rPr>
          <w:rFonts w:ascii="宋体" w:hAnsi="宋体" w:cs="宋体"/>
          <w:b/>
          <w:color w:val="000000"/>
          <w:sz w:val="22"/>
        </w:rPr>
      </w:pPr>
      <w:r>
        <w:rPr>
          <w:rFonts w:ascii="宋体" w:hAnsi="宋体" w:cs="宋体"/>
          <w:color w:val="000000"/>
          <w:sz w:val="22"/>
        </w:rPr>
        <w:t>注：</w:t>
      </w:r>
      <w:r>
        <w:rPr>
          <w:rFonts w:hint="eastAsia" w:ascii="宋体" w:hAnsi="宋体" w:cs="宋体"/>
          <w:b/>
          <w:bCs/>
          <w:color w:val="000000"/>
          <w:sz w:val="22"/>
        </w:rPr>
        <w:t>响应报价一次报定，</w:t>
      </w:r>
      <w:r>
        <w:rPr>
          <w:rFonts w:hint="eastAsia" w:ascii="宋体" w:hAnsi="宋体" w:eastAsia="宋体" w:cs="宋体"/>
          <w:b/>
          <w:bCs/>
          <w:color w:val="000000"/>
          <w:sz w:val="22"/>
          <w:lang w:val="en-US" w:eastAsia="zh-CN"/>
        </w:rPr>
        <w:t>本表最高限价</w:t>
      </w:r>
      <w:r>
        <w:rPr>
          <w:rFonts w:hint="eastAsia" w:ascii="宋体" w:hAnsi="宋体" w:cs="宋体"/>
          <w:b/>
          <w:bCs/>
          <w:color w:val="000000"/>
          <w:sz w:val="22"/>
        </w:rPr>
        <w:t>包括承包期内物业管理服务需要的服务人员岗位工资、五险一金、福利、</w:t>
      </w:r>
      <w:r>
        <w:rPr>
          <w:rFonts w:hint="eastAsia" w:ascii="宋体" w:hAnsi="宋体" w:cs="宋体" w:eastAsiaTheme="minorEastAsia"/>
          <w:b/>
          <w:bCs/>
          <w:color w:val="000000"/>
          <w:sz w:val="22"/>
          <w:szCs w:val="22"/>
          <w:lang w:val="en-US" w:eastAsia="zh-CN" w:bidi="ar-SA"/>
        </w:rPr>
        <w:t>法定节假日及替岗产生的及标准工时以外所有加班费、</w:t>
      </w:r>
      <w:r>
        <w:rPr>
          <w:rFonts w:hint="eastAsia" w:ascii="宋体" w:hAnsi="宋体" w:cs="宋体"/>
          <w:b/>
          <w:bCs/>
          <w:color w:val="000000"/>
          <w:sz w:val="22"/>
        </w:rPr>
        <w:t>保险、利润、税金、</w:t>
      </w:r>
      <w:r>
        <w:rPr>
          <w:rFonts w:hint="eastAsia" w:ascii="宋体" w:hAnsi="宋体" w:cs="宋体"/>
          <w:b/>
          <w:bCs/>
          <w:color w:val="000000"/>
          <w:sz w:val="22"/>
          <w:lang w:val="en-US" w:eastAsia="zh-CN"/>
        </w:rPr>
        <w:t>低值</w:t>
      </w:r>
      <w:r>
        <w:rPr>
          <w:rFonts w:hint="eastAsia" w:ascii="宋体" w:hAnsi="宋体" w:cs="宋体"/>
          <w:b/>
          <w:bCs/>
          <w:color w:val="000000"/>
          <w:sz w:val="22"/>
        </w:rPr>
        <w:t>易耗品、政策性文件规定及合同包含的所有风险、责任等各项应有费用。</w:t>
      </w:r>
      <w:r>
        <w:rPr>
          <w:rFonts w:ascii="宋体" w:hAnsi="宋体" w:cs="宋体"/>
          <w:b/>
          <w:color w:val="000000"/>
          <w:sz w:val="22"/>
        </w:rPr>
        <w:t>投标人对各岗位人员的报价不得超过本表中的最高限价，否则将被视为无效投标。</w:t>
      </w:r>
    </w:p>
    <w:p w14:paraId="7352170E">
      <w:pPr>
        <w:spacing w:line="360" w:lineRule="auto"/>
        <w:ind w:firstLine="561"/>
        <w:rPr>
          <w:rFonts w:hint="eastAsia" w:ascii="宋体" w:hAnsi="宋体" w:eastAsia="宋体" w:cs="Times New Roman"/>
          <w:bCs/>
          <w:i/>
          <w:iCs/>
          <w:color w:val="000000"/>
          <w:sz w:val="24"/>
          <w:szCs w:val="24"/>
          <w:highlight w:val="none"/>
          <w:u w:val="single"/>
        </w:rPr>
      </w:pPr>
      <w:r>
        <w:rPr>
          <w:rFonts w:hint="eastAsia" w:ascii="宋体" w:hAnsi="宋体" w:eastAsia="宋体" w:cs="Times New Roman"/>
          <w:bCs/>
          <w:i/>
          <w:iCs/>
          <w:color w:val="000000"/>
          <w:sz w:val="24"/>
          <w:szCs w:val="24"/>
          <w:highlight w:val="none"/>
          <w:u w:val="single"/>
        </w:rPr>
        <w:t>供应商须提供承诺服从征集人管理要求，须针对本项目指派专人负责日常管理及联络工作。（提供相关人员联系方式及承诺函，格式自拟加盖投标人电子签章，不提供的作无效文件处理）</w:t>
      </w:r>
    </w:p>
    <w:p w14:paraId="07473D52">
      <w:pPr>
        <w:pStyle w:val="13"/>
        <w:keepNext w:val="0"/>
        <w:keepLines w:val="0"/>
        <w:pageBreakBefore w:val="0"/>
        <w:kinsoku/>
        <w:wordWrap/>
        <w:overflowPunct/>
        <w:topLinePunct w:val="0"/>
        <w:autoSpaceDE/>
        <w:autoSpaceDN/>
        <w:bidi w:val="0"/>
        <w:adjustRightInd/>
        <w:snapToGrid/>
        <w:spacing w:after="0" w:line="440" w:lineRule="exact"/>
        <w:ind w:firstLine="480"/>
        <w:jc w:val="both"/>
        <w:textAlignment w:val="auto"/>
        <w:rPr>
          <w:rFonts w:hint="eastAsia" w:ascii="宋体" w:hAnsi="宋体" w:eastAsia="宋体"/>
          <w:b w:val="0"/>
          <w:bCs w:val="0"/>
          <w:i/>
          <w:iCs/>
          <w:color w:val="000000"/>
          <w:sz w:val="24"/>
          <w:szCs w:val="24"/>
          <w:u w:val="single"/>
          <w:lang w:eastAsia="zh-CN"/>
        </w:rPr>
      </w:pPr>
      <w:bookmarkStart w:id="0" w:name="OLE_LINK1"/>
      <w:r>
        <w:rPr>
          <w:rFonts w:ascii="宋体" w:hAnsi="宋体" w:cs="宋体"/>
          <w:b w:val="0"/>
          <w:bCs w:val="0"/>
          <w:i/>
          <w:iCs/>
          <w:color w:val="000000"/>
          <w:sz w:val="24"/>
          <w:u w:val="single"/>
        </w:rPr>
        <w:t>严格执行</w:t>
      </w:r>
      <w:r>
        <w:rPr>
          <w:rFonts w:hint="eastAsia" w:ascii="宋体" w:hAnsi="宋体" w:cs="宋体"/>
          <w:b w:val="0"/>
          <w:bCs w:val="0"/>
          <w:i/>
          <w:iCs/>
          <w:color w:val="000000"/>
          <w:sz w:val="24"/>
          <w:u w:val="single"/>
          <w:lang w:val="en-US" w:eastAsia="zh-CN"/>
        </w:rPr>
        <w:t>项目所在地政府</w:t>
      </w:r>
      <w:r>
        <w:rPr>
          <w:rFonts w:ascii="宋体" w:hAnsi="宋体" w:cs="宋体"/>
          <w:b w:val="0"/>
          <w:bCs w:val="0"/>
          <w:i/>
          <w:iCs/>
          <w:color w:val="000000"/>
          <w:sz w:val="24"/>
          <w:u w:val="single"/>
        </w:rPr>
        <w:t>用工工资标准的有关规定，并承担其员工的劳动报酬、福利待遇，按劳动法缴纳社会保险、劳动保护、工伤抚恤等用人费用，</w:t>
      </w:r>
      <w:bookmarkEnd w:id="0"/>
      <w:r>
        <w:rPr>
          <w:rFonts w:ascii="宋体" w:hAnsi="宋体" w:cs="宋体"/>
          <w:b w:val="0"/>
          <w:bCs w:val="0"/>
          <w:i/>
          <w:iCs/>
          <w:color w:val="000000"/>
          <w:sz w:val="24"/>
          <w:u w:val="single"/>
        </w:rPr>
        <w:t>承担未正确执行劳动用工规定所产生的法律责任，维护和保障员工的合法权益。</w:t>
      </w:r>
      <w:r>
        <w:rPr>
          <w:rFonts w:hint="eastAsia" w:ascii="宋体" w:hAnsi="宋体" w:cs="宋体"/>
          <w:b w:val="0"/>
          <w:bCs w:val="0"/>
          <w:i/>
          <w:iCs/>
          <w:color w:val="000000"/>
          <w:sz w:val="24"/>
          <w:u w:val="single"/>
          <w:lang w:eastAsia="zh-CN"/>
        </w:rPr>
        <w:t>（</w:t>
      </w:r>
      <w:r>
        <w:rPr>
          <w:rFonts w:hint="eastAsia" w:ascii="宋体" w:hAnsi="宋体" w:eastAsia="宋体" w:cs="Times New Roman"/>
          <w:bCs/>
          <w:i/>
          <w:iCs/>
          <w:color w:val="000000"/>
          <w:sz w:val="24"/>
          <w:szCs w:val="24"/>
          <w:highlight w:val="none"/>
          <w:u w:val="single"/>
        </w:rPr>
        <w:t>提供承诺函，格式自拟</w:t>
      </w:r>
      <w:r>
        <w:rPr>
          <w:rFonts w:hint="eastAsia" w:ascii="宋体" w:hAnsi="宋体" w:cs="宋体"/>
          <w:b w:val="0"/>
          <w:bCs w:val="0"/>
          <w:i/>
          <w:iCs/>
          <w:color w:val="000000"/>
          <w:sz w:val="24"/>
          <w:u w:val="single"/>
          <w:lang w:eastAsia="zh-CN"/>
        </w:rPr>
        <w:t>）</w:t>
      </w:r>
    </w:p>
    <w:p w14:paraId="19E56948">
      <w:pPr>
        <w:pStyle w:val="2"/>
      </w:pPr>
    </w:p>
    <w:p w14:paraId="29576CA2">
      <w:pPr>
        <w:pStyle w:val="5"/>
        <w:numPr>
          <w:ilvl w:val="1"/>
          <w:numId w:val="0"/>
        </w:numPr>
        <w:spacing w:before="0" w:after="0" w:line="360" w:lineRule="auto"/>
        <w:ind w:firstLine="480"/>
        <w:jc w:val="left"/>
        <w:rPr>
          <w:rFonts w:ascii="黑体" w:hAnsi="黑体" w:eastAsia="黑体" w:cs="宋体"/>
          <w:b w:val="0"/>
          <w:bCs w:val="0"/>
          <w:color w:val="000000"/>
          <w:sz w:val="24"/>
          <w:szCs w:val="24"/>
        </w:rPr>
      </w:pPr>
      <w:r>
        <w:rPr>
          <w:rFonts w:hint="eastAsia" w:ascii="黑体" w:hAnsi="黑体" w:eastAsia="黑体" w:cs="宋体"/>
          <w:b w:val="0"/>
          <w:bCs w:val="0"/>
          <w:color w:val="000000"/>
          <w:sz w:val="24"/>
          <w:szCs w:val="24"/>
          <w:lang w:val="en-US" w:eastAsia="zh-CN"/>
        </w:rPr>
        <w:t>五</w:t>
      </w:r>
      <w:r>
        <w:rPr>
          <w:rFonts w:hint="eastAsia" w:ascii="黑体" w:hAnsi="黑体" w:eastAsia="黑体" w:cs="宋体"/>
          <w:b w:val="0"/>
          <w:bCs w:val="0"/>
          <w:color w:val="000000"/>
          <w:sz w:val="24"/>
          <w:szCs w:val="24"/>
        </w:rPr>
        <w:t>、框架协议合同授予</w:t>
      </w:r>
    </w:p>
    <w:p w14:paraId="009D3DB0">
      <w:pPr>
        <w:spacing w:line="360" w:lineRule="auto"/>
        <w:ind w:firstLine="480"/>
        <w:rPr>
          <w:rFonts w:hint="eastAsia" w:ascii="宋体" w:hAnsi="宋体" w:eastAsia="宋体" w:cs="Times New Roman"/>
          <w:bCs/>
          <w:color w:val="000000"/>
          <w:sz w:val="24"/>
          <w:szCs w:val="24"/>
          <w:lang w:val="en-US" w:eastAsia="zh-CN"/>
        </w:rPr>
      </w:pPr>
      <w:r>
        <w:rPr>
          <w:rFonts w:hint="eastAsia" w:ascii="宋体" w:hAnsi="宋体" w:eastAsia="宋体" w:cs="Times New Roman"/>
          <w:bCs/>
          <w:color w:val="000000"/>
          <w:sz w:val="24"/>
          <w:szCs w:val="24"/>
        </w:rPr>
        <w:t>1.确定第二阶段成交供应商的方式包括直接选定</w:t>
      </w:r>
      <w:r>
        <w:rPr>
          <w:rFonts w:hint="eastAsia" w:ascii="宋体" w:hAnsi="宋体" w:eastAsia="宋体" w:cs="Times New Roman"/>
          <w:bCs/>
          <w:color w:val="000000"/>
          <w:sz w:val="24"/>
          <w:szCs w:val="24"/>
          <w:lang w:val="en-US" w:eastAsia="zh-CN"/>
        </w:rPr>
        <w:t>和</w:t>
      </w:r>
      <w:r>
        <w:rPr>
          <w:rFonts w:hint="eastAsia" w:ascii="宋体" w:hAnsi="宋体" w:eastAsia="宋体" w:cs="Times New Roman"/>
          <w:bCs/>
          <w:color w:val="000000"/>
          <w:sz w:val="24"/>
          <w:szCs w:val="24"/>
        </w:rPr>
        <w:t>二次竞价</w:t>
      </w:r>
      <w:r>
        <w:rPr>
          <w:rFonts w:hint="eastAsia" w:ascii="宋体" w:hAnsi="宋体" w:eastAsia="宋体" w:cs="Times New Roman"/>
          <w:bCs/>
          <w:color w:val="000000"/>
          <w:sz w:val="24"/>
          <w:szCs w:val="24"/>
          <w:lang w:eastAsia="zh-CN"/>
        </w:rPr>
        <w:t>，</w:t>
      </w:r>
      <w:r>
        <w:rPr>
          <w:rFonts w:hint="eastAsia" w:ascii="宋体" w:hAnsi="宋体" w:eastAsia="宋体" w:cs="Times New Roman"/>
          <w:bCs/>
          <w:color w:val="000000"/>
          <w:sz w:val="24"/>
          <w:szCs w:val="24"/>
          <w:lang w:val="en-US" w:eastAsia="zh-CN"/>
        </w:rPr>
        <w:t>由</w:t>
      </w:r>
      <w:r>
        <w:rPr>
          <w:rFonts w:hint="eastAsia" w:ascii="宋体" w:hAnsi="宋体" w:eastAsia="宋体" w:cs="Times New Roman"/>
          <w:bCs/>
          <w:color w:val="000000"/>
          <w:sz w:val="24"/>
          <w:szCs w:val="24"/>
        </w:rPr>
        <w:t>采购人或者服务对象</w:t>
      </w:r>
      <w:r>
        <w:rPr>
          <w:rFonts w:hint="eastAsia" w:ascii="宋体" w:hAnsi="宋体" w:eastAsia="宋体" w:cs="Times New Roman"/>
          <w:bCs/>
          <w:color w:val="000000"/>
          <w:sz w:val="24"/>
          <w:szCs w:val="24"/>
          <w:lang w:val="en-US" w:eastAsia="zh-CN"/>
        </w:rPr>
        <w:t>自行选定。</w:t>
      </w:r>
    </w:p>
    <w:p w14:paraId="24A731A4">
      <w:pPr>
        <w:spacing w:line="360" w:lineRule="auto"/>
        <w:ind w:firstLine="480"/>
        <w:rPr>
          <w:rFonts w:hint="eastAsia" w:ascii="宋体" w:hAnsi="宋体" w:eastAsia="宋体" w:cs="Times New Roman"/>
          <w:bCs/>
          <w:color w:val="000000"/>
          <w:sz w:val="24"/>
          <w:szCs w:val="24"/>
        </w:rPr>
      </w:pPr>
      <w:r>
        <w:rPr>
          <w:rFonts w:hint="eastAsia" w:ascii="宋体" w:hAnsi="宋体" w:eastAsia="宋体" w:cs="Times New Roman"/>
          <w:bCs/>
          <w:color w:val="000000"/>
          <w:sz w:val="24"/>
          <w:szCs w:val="24"/>
          <w:lang w:val="en-US" w:eastAsia="zh-CN"/>
        </w:rPr>
        <w:t>直接</w:t>
      </w:r>
      <w:r>
        <w:rPr>
          <w:rFonts w:hint="eastAsia" w:ascii="宋体" w:hAnsi="宋体" w:eastAsia="宋体" w:cs="Times New Roman"/>
          <w:bCs/>
          <w:color w:val="000000"/>
          <w:sz w:val="24"/>
          <w:szCs w:val="24"/>
        </w:rPr>
        <w:t>选定方式是由采购人或者服务对象依据入围产品价格、质量以及服务便利性、用户评价等因素，从第一阶段入围供应商中直接选定。</w:t>
      </w:r>
    </w:p>
    <w:p w14:paraId="1BB2A8AE">
      <w:pPr>
        <w:spacing w:line="360" w:lineRule="auto"/>
        <w:ind w:firstLine="480"/>
        <w:rPr>
          <w:rFonts w:hint="eastAsia" w:ascii="宋体" w:hAnsi="宋体" w:eastAsia="宋体" w:cs="Times New Roman"/>
          <w:bCs/>
          <w:color w:val="000000"/>
          <w:sz w:val="24"/>
          <w:szCs w:val="24"/>
        </w:rPr>
      </w:pPr>
      <w:r>
        <w:rPr>
          <w:rFonts w:hint="eastAsia" w:ascii="宋体" w:hAnsi="宋体" w:eastAsia="宋体" w:cs="Times New Roman"/>
          <w:bCs/>
          <w:color w:val="000000"/>
          <w:sz w:val="24"/>
          <w:szCs w:val="24"/>
        </w:rPr>
        <w:t xml:space="preserve"> 二次竞价方式是指以框架协议约定的入围产品、采购合同文本等为依据，以协议价格为最高限价，采购人明确第二阶段竞价需求，从入围供应商中选择所有符合竞价需求的供应商参与二次竞价，确定报价最低的为成交供应商的方式。</w:t>
      </w:r>
    </w:p>
    <w:p w14:paraId="7F21F86C">
      <w:pPr>
        <w:pStyle w:val="6"/>
        <w:spacing w:line="360" w:lineRule="auto"/>
        <w:ind w:firstLine="480"/>
      </w:pPr>
      <w:r>
        <w:rPr>
          <w:rFonts w:hint="eastAsia" w:ascii="宋体" w:hAnsi="宋体" w:eastAsia="宋体" w:cs="宋体"/>
          <w:sz w:val="24"/>
          <w:szCs w:val="24"/>
          <w:lang w:val="en-US" w:eastAsia="zh-CN"/>
        </w:rPr>
        <w:t>2.</w:t>
      </w:r>
      <w:r>
        <w:rPr>
          <w:rFonts w:hint="eastAsia" w:ascii="宋体" w:hAnsi="宋体" w:eastAsia="宋体" w:cs="宋体"/>
          <w:sz w:val="24"/>
          <w:szCs w:val="24"/>
        </w:rPr>
        <w:t>物业管理服务工作所需工具用具、低值易耗品等均由供应商自行承担，相关费用综合考虑在人员报价中。其余耗材等由采购人承担，服务供应商根据需要按月提报使用计划，经采购人审核后安排使用。</w:t>
      </w:r>
    </w:p>
    <w:p w14:paraId="04CCB77B">
      <w:pPr>
        <w:spacing w:line="360" w:lineRule="auto"/>
        <w:ind w:firstLine="480"/>
        <w:rPr>
          <w:rFonts w:ascii="宋体" w:hAnsi="宋体" w:eastAsia="宋体" w:cs="Times New Roman"/>
          <w:bCs/>
          <w:color w:val="000000"/>
          <w:sz w:val="24"/>
          <w:szCs w:val="24"/>
        </w:rPr>
      </w:pPr>
      <w:r>
        <w:rPr>
          <w:rFonts w:hint="eastAsia" w:ascii="宋体" w:hAnsi="宋体" w:eastAsia="宋体" w:cs="Times New Roman"/>
          <w:bCs/>
          <w:color w:val="000000"/>
          <w:sz w:val="24"/>
          <w:szCs w:val="24"/>
          <w:lang w:val="en-US" w:eastAsia="zh-CN"/>
        </w:rPr>
        <w:t>3</w:t>
      </w:r>
      <w:r>
        <w:rPr>
          <w:rFonts w:hint="eastAsia" w:ascii="宋体" w:hAnsi="宋体" w:eastAsia="宋体" w:cs="Times New Roman"/>
          <w:bCs/>
          <w:color w:val="000000"/>
          <w:sz w:val="24"/>
          <w:szCs w:val="24"/>
        </w:rPr>
        <w:t>.采购人原则上不得采购框架协议采购范围以外的产品或服务。如框架协议范围内产品或服务确实无法满足采购人的工作需要，按照同级财政部门规定执行。</w:t>
      </w:r>
    </w:p>
    <w:p w14:paraId="26F1338B">
      <w:pPr>
        <w:pStyle w:val="5"/>
        <w:numPr>
          <w:ilvl w:val="1"/>
          <w:numId w:val="0"/>
        </w:numPr>
        <w:spacing w:before="0" w:after="0" w:line="360" w:lineRule="auto"/>
        <w:ind w:firstLine="480"/>
        <w:jc w:val="left"/>
        <w:rPr>
          <w:rFonts w:ascii="黑体" w:hAnsi="黑体" w:eastAsia="黑体" w:cs="宋体"/>
          <w:b w:val="0"/>
          <w:bCs w:val="0"/>
          <w:color w:val="000000"/>
          <w:sz w:val="24"/>
          <w:szCs w:val="24"/>
        </w:rPr>
      </w:pPr>
      <w:r>
        <w:rPr>
          <w:rFonts w:hint="eastAsia" w:ascii="黑体" w:hAnsi="黑体" w:eastAsia="黑体" w:cs="宋体"/>
          <w:b w:val="0"/>
          <w:bCs w:val="0"/>
          <w:color w:val="000000"/>
          <w:sz w:val="24"/>
          <w:szCs w:val="24"/>
          <w:lang w:val="en-US" w:eastAsia="zh-CN"/>
        </w:rPr>
        <w:t>六</w:t>
      </w:r>
      <w:r>
        <w:rPr>
          <w:rFonts w:hint="eastAsia" w:ascii="黑体" w:hAnsi="黑体" w:eastAsia="黑体" w:cs="宋体"/>
          <w:b w:val="0"/>
          <w:bCs w:val="0"/>
          <w:color w:val="000000"/>
          <w:sz w:val="24"/>
          <w:szCs w:val="24"/>
        </w:rPr>
        <w:t>、入围供应商的清退和补充规则</w:t>
      </w:r>
    </w:p>
    <w:p w14:paraId="2C21EF25">
      <w:pPr>
        <w:spacing w:line="360" w:lineRule="auto"/>
        <w:ind w:firstLine="482"/>
        <w:rPr>
          <w:rFonts w:ascii="宋体" w:hAnsi="宋体" w:eastAsia="宋体" w:cs="Times New Roman"/>
          <w:b/>
          <w:bCs/>
          <w:color w:val="000000"/>
          <w:sz w:val="24"/>
          <w:szCs w:val="24"/>
        </w:rPr>
      </w:pPr>
      <w:r>
        <w:rPr>
          <w:rFonts w:hint="eastAsia" w:ascii="宋体" w:hAnsi="宋体" w:eastAsia="宋体" w:cs="Times New Roman"/>
          <w:b/>
          <w:bCs/>
          <w:color w:val="000000"/>
          <w:sz w:val="24"/>
          <w:szCs w:val="24"/>
        </w:rPr>
        <w:t>1</w:t>
      </w:r>
      <w:r>
        <w:rPr>
          <w:rFonts w:ascii="宋体" w:hAnsi="宋体" w:eastAsia="宋体" w:cs="Times New Roman"/>
          <w:b/>
          <w:bCs/>
          <w:color w:val="000000"/>
          <w:sz w:val="24"/>
          <w:szCs w:val="24"/>
        </w:rPr>
        <w:t>.</w:t>
      </w:r>
      <w:r>
        <w:rPr>
          <w:rFonts w:hint="eastAsia" w:ascii="宋体" w:hAnsi="宋体" w:eastAsia="宋体" w:cs="Times New Roman"/>
          <w:b/>
          <w:bCs/>
          <w:color w:val="000000"/>
          <w:sz w:val="24"/>
          <w:szCs w:val="24"/>
        </w:rPr>
        <w:t>入围供应商清退规则</w:t>
      </w:r>
    </w:p>
    <w:p w14:paraId="1F841456">
      <w:pPr>
        <w:spacing w:line="360" w:lineRule="auto"/>
        <w:ind w:firstLine="480"/>
        <w:rPr>
          <w:rFonts w:ascii="宋体" w:hAnsi="宋体" w:eastAsia="宋体" w:cs="Times New Roman"/>
          <w:bCs/>
          <w:color w:val="000000"/>
          <w:sz w:val="24"/>
          <w:szCs w:val="24"/>
        </w:rPr>
      </w:pPr>
      <w:r>
        <w:rPr>
          <w:rFonts w:hint="eastAsia" w:ascii="宋体" w:hAnsi="宋体" w:eastAsia="宋体" w:cs="Times New Roman"/>
          <w:bCs/>
          <w:color w:val="000000"/>
          <w:sz w:val="24"/>
          <w:szCs w:val="24"/>
        </w:rPr>
        <w:t>入围供应商有下列情形之一，尚未签订框架协议的，取消其入围资格；已经签订框架协议的，解除与其签订的框架协议：</w:t>
      </w:r>
    </w:p>
    <w:p w14:paraId="5C380C64">
      <w:pPr>
        <w:spacing w:line="360" w:lineRule="auto"/>
        <w:ind w:firstLine="480"/>
        <w:rPr>
          <w:rFonts w:ascii="宋体" w:hAnsi="宋体" w:eastAsia="宋体" w:cs="Times New Roman"/>
          <w:bCs/>
          <w:color w:val="000000"/>
          <w:sz w:val="24"/>
          <w:szCs w:val="24"/>
        </w:rPr>
      </w:pPr>
      <w:r>
        <w:rPr>
          <w:rFonts w:hint="eastAsia" w:ascii="宋体" w:hAnsi="宋体" w:eastAsia="宋体" w:cs="Times New Roman"/>
          <w:bCs/>
          <w:color w:val="000000"/>
          <w:sz w:val="24"/>
          <w:szCs w:val="24"/>
        </w:rPr>
        <w:t>（1）恶意串通谋取入围或者合同成交的；</w:t>
      </w:r>
    </w:p>
    <w:p w14:paraId="6AC20F27">
      <w:pPr>
        <w:spacing w:line="360" w:lineRule="auto"/>
        <w:ind w:firstLine="480"/>
        <w:rPr>
          <w:rFonts w:ascii="宋体" w:hAnsi="宋体" w:eastAsia="宋体" w:cs="Times New Roman"/>
          <w:bCs/>
          <w:color w:val="000000"/>
          <w:sz w:val="24"/>
          <w:szCs w:val="24"/>
        </w:rPr>
      </w:pPr>
      <w:r>
        <w:rPr>
          <w:rFonts w:hint="eastAsia" w:ascii="宋体" w:hAnsi="宋体" w:eastAsia="宋体" w:cs="Times New Roman"/>
          <w:bCs/>
          <w:color w:val="000000"/>
          <w:sz w:val="24"/>
          <w:szCs w:val="24"/>
        </w:rPr>
        <w:t>（2）提供虚假材料谋取入围或者合同成交的；</w:t>
      </w:r>
    </w:p>
    <w:p w14:paraId="73A4589E">
      <w:pPr>
        <w:spacing w:line="360" w:lineRule="auto"/>
        <w:ind w:firstLine="480"/>
        <w:rPr>
          <w:rFonts w:ascii="宋体" w:hAnsi="宋体" w:eastAsia="宋体" w:cs="Times New Roman"/>
          <w:bCs/>
          <w:color w:val="000000"/>
          <w:sz w:val="24"/>
          <w:szCs w:val="24"/>
        </w:rPr>
      </w:pPr>
      <w:r>
        <w:rPr>
          <w:rFonts w:hint="eastAsia" w:ascii="宋体" w:hAnsi="宋体" w:eastAsia="宋体" w:cs="Times New Roman"/>
          <w:bCs/>
          <w:color w:val="000000"/>
          <w:sz w:val="24"/>
          <w:szCs w:val="24"/>
        </w:rPr>
        <w:t>（3）无正当理由拒不接受合同授予的；</w:t>
      </w:r>
    </w:p>
    <w:p w14:paraId="6886663F">
      <w:pPr>
        <w:spacing w:line="360" w:lineRule="auto"/>
        <w:ind w:firstLine="480"/>
        <w:rPr>
          <w:rFonts w:ascii="宋体" w:hAnsi="宋体" w:eastAsia="宋体" w:cs="Times New Roman"/>
          <w:bCs/>
          <w:color w:val="000000"/>
          <w:sz w:val="24"/>
          <w:szCs w:val="24"/>
        </w:rPr>
      </w:pPr>
      <w:r>
        <w:rPr>
          <w:rFonts w:hint="eastAsia" w:ascii="宋体" w:hAnsi="宋体" w:eastAsia="宋体" w:cs="Times New Roman"/>
          <w:bCs/>
          <w:color w:val="000000"/>
          <w:sz w:val="24"/>
          <w:szCs w:val="24"/>
        </w:rPr>
        <w:t>（4）不履行合同义务或者履行合同义务不符合约定，经采购人请求履行后仍不履行或者仍未按约定履行的；</w:t>
      </w:r>
    </w:p>
    <w:p w14:paraId="0D8DE383">
      <w:pPr>
        <w:spacing w:line="360" w:lineRule="auto"/>
        <w:ind w:firstLine="480"/>
        <w:rPr>
          <w:rFonts w:ascii="宋体" w:hAnsi="宋体" w:eastAsia="宋体" w:cs="Times New Roman"/>
          <w:bCs/>
          <w:color w:val="000000"/>
          <w:sz w:val="24"/>
          <w:szCs w:val="24"/>
        </w:rPr>
      </w:pPr>
      <w:r>
        <w:rPr>
          <w:rFonts w:hint="eastAsia" w:ascii="宋体" w:hAnsi="宋体" w:eastAsia="宋体" w:cs="Times New Roman"/>
          <w:bCs/>
          <w:color w:val="000000"/>
          <w:sz w:val="24"/>
          <w:szCs w:val="24"/>
        </w:rPr>
        <w:t>（5）框架协议有效期内，</w:t>
      </w:r>
      <w:r>
        <w:rPr>
          <w:rFonts w:ascii="宋体" w:hAnsi="宋体" w:eastAsia="宋体" w:cs="Times New Roman"/>
          <w:bCs/>
          <w:color w:val="000000"/>
          <w:sz w:val="24"/>
          <w:szCs w:val="24"/>
        </w:rPr>
        <w:t>对掌握并查实的不具备履行本项目合同能力的；</w:t>
      </w:r>
    </w:p>
    <w:p w14:paraId="751E5D56">
      <w:pPr>
        <w:spacing w:line="360" w:lineRule="auto"/>
        <w:ind w:firstLine="480"/>
        <w:rPr>
          <w:rFonts w:ascii="宋体" w:hAnsi="宋体" w:eastAsia="宋体" w:cs="Times New Roman"/>
          <w:bCs/>
          <w:color w:val="000000"/>
          <w:sz w:val="24"/>
          <w:szCs w:val="24"/>
        </w:rPr>
      </w:pPr>
      <w:r>
        <w:rPr>
          <w:rFonts w:hint="eastAsia" w:ascii="宋体" w:hAnsi="宋体" w:eastAsia="宋体" w:cs="Times New Roman"/>
          <w:bCs/>
          <w:color w:val="000000"/>
          <w:sz w:val="24"/>
          <w:szCs w:val="24"/>
        </w:rPr>
        <w:t>（6）框架协议有效期内，因违法行为被禁止或限制参加政府采购活动的；</w:t>
      </w:r>
    </w:p>
    <w:p w14:paraId="6062D871">
      <w:pPr>
        <w:spacing w:line="360" w:lineRule="auto"/>
        <w:ind w:firstLine="480"/>
        <w:rPr>
          <w:rFonts w:ascii="宋体" w:hAnsi="宋体" w:eastAsia="宋体" w:cs="Times New Roman"/>
          <w:bCs/>
          <w:color w:val="000000"/>
          <w:sz w:val="24"/>
          <w:szCs w:val="24"/>
        </w:rPr>
      </w:pPr>
      <w:r>
        <w:rPr>
          <w:rFonts w:hint="eastAsia" w:ascii="宋体" w:hAnsi="宋体" w:eastAsia="宋体" w:cs="Times New Roman"/>
          <w:bCs/>
          <w:color w:val="000000"/>
          <w:sz w:val="24"/>
          <w:szCs w:val="24"/>
        </w:rPr>
        <w:t>（7）框架协议约定的其他情形。</w:t>
      </w:r>
    </w:p>
    <w:p w14:paraId="219F54C8">
      <w:pPr>
        <w:spacing w:line="360" w:lineRule="auto"/>
        <w:ind w:firstLine="480"/>
        <w:rPr>
          <w:rFonts w:ascii="宋体" w:hAnsi="宋体" w:eastAsia="宋体" w:cs="Times New Roman"/>
          <w:bCs/>
          <w:color w:val="000000"/>
          <w:sz w:val="24"/>
          <w:szCs w:val="24"/>
        </w:rPr>
      </w:pPr>
      <w:r>
        <w:rPr>
          <w:rFonts w:hint="eastAsia" w:ascii="宋体" w:hAnsi="宋体" w:eastAsia="宋体" w:cs="Times New Roman"/>
          <w:bCs/>
          <w:color w:val="000000"/>
          <w:sz w:val="24"/>
          <w:szCs w:val="24"/>
        </w:rPr>
        <w:t>被取消入围资格或者被解除框架协议的供应商不得参加同一封闭式框架协议补充征集。</w:t>
      </w:r>
    </w:p>
    <w:p w14:paraId="7F23B48D">
      <w:pPr>
        <w:spacing w:line="360" w:lineRule="auto"/>
        <w:ind w:firstLine="482"/>
        <w:rPr>
          <w:rFonts w:ascii="宋体" w:hAnsi="宋体" w:eastAsia="宋体" w:cs="Times New Roman"/>
          <w:b/>
          <w:bCs/>
          <w:color w:val="000000"/>
          <w:sz w:val="24"/>
          <w:szCs w:val="24"/>
        </w:rPr>
      </w:pPr>
      <w:r>
        <w:rPr>
          <w:rFonts w:hint="eastAsia" w:ascii="宋体" w:hAnsi="宋体" w:eastAsia="宋体" w:cs="Times New Roman"/>
          <w:b/>
          <w:bCs/>
          <w:color w:val="000000"/>
          <w:sz w:val="24"/>
          <w:szCs w:val="24"/>
        </w:rPr>
        <w:t>2</w:t>
      </w:r>
      <w:r>
        <w:rPr>
          <w:rFonts w:ascii="宋体" w:hAnsi="宋体" w:eastAsia="宋体" w:cs="Times New Roman"/>
          <w:b/>
          <w:bCs/>
          <w:color w:val="000000"/>
          <w:sz w:val="24"/>
          <w:szCs w:val="24"/>
        </w:rPr>
        <w:t>.</w:t>
      </w:r>
      <w:r>
        <w:rPr>
          <w:rFonts w:hint="eastAsia" w:ascii="宋体" w:hAnsi="宋体" w:eastAsia="宋体" w:cs="Times New Roman"/>
          <w:b/>
          <w:bCs/>
          <w:color w:val="000000"/>
          <w:sz w:val="24"/>
          <w:szCs w:val="24"/>
        </w:rPr>
        <w:t>入围供应商补充规则</w:t>
      </w:r>
    </w:p>
    <w:p w14:paraId="488C3F55">
      <w:pPr>
        <w:spacing w:line="360" w:lineRule="auto"/>
        <w:ind w:firstLine="480"/>
        <w:rPr>
          <w:rFonts w:ascii="宋体" w:hAnsi="宋体" w:eastAsia="宋体" w:cs="Times New Roman"/>
          <w:bCs/>
          <w:color w:val="000000"/>
          <w:sz w:val="24"/>
          <w:szCs w:val="24"/>
        </w:rPr>
      </w:pPr>
      <w:r>
        <w:rPr>
          <w:rFonts w:hint="eastAsia" w:ascii="宋体" w:hAnsi="宋体" w:eastAsia="宋体" w:cs="Times New Roman"/>
          <w:bCs/>
          <w:color w:val="000000"/>
          <w:sz w:val="24"/>
          <w:szCs w:val="24"/>
        </w:rPr>
        <w:t>如出现剩余入围供应商不足入围供应商总数70%且影响框协议执行的情况，征集人有权启动补充征集程序，补充征集遵守原框架协议有效期。补充征集期间，原框架协议继续履行。</w:t>
      </w:r>
    </w:p>
    <w:p w14:paraId="64969380">
      <w:pPr>
        <w:widowControl/>
        <w:jc w:val="left"/>
        <w:rPr>
          <w:rFonts w:ascii="黑体" w:hAnsi="黑体" w:eastAsia="黑体"/>
          <w:bCs/>
          <w:sz w:val="44"/>
          <w:szCs w:val="44"/>
        </w:rPr>
      </w:pPr>
      <w:r>
        <w:rPr>
          <w:rFonts w:ascii="黑体" w:hAnsi="黑体" w:eastAsia="黑体"/>
          <w:b/>
        </w:rPr>
        <w:br w:type="page" w:clear="all"/>
      </w:r>
    </w:p>
    <w:p w14:paraId="05DE13DE">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Calibri Light">
    <w:panose1 w:val="020F0302020204030204"/>
    <w:charset w:val="00"/>
    <w:family w:val="auto"/>
    <w:pitch w:val="default"/>
    <w:sig w:usb0="E4002EFF" w:usb1="C200247B" w:usb2="00000009" w:usb3="00000000" w:csb0="200001FF" w:csb1="00000000"/>
  </w:font>
  <w:font w:name="楷体_GB2312">
    <w:altName w:val="楷体"/>
    <w:panose1 w:val="02010609060101010101"/>
    <w:charset w:val="00"/>
    <w:family w:val="auto"/>
    <w:pitch w:val="default"/>
    <w:sig w:usb0="00000000" w:usb1="00000000" w:usb2="00000000" w:usb3="00000000" w:csb0="00000000" w:csb1="00000000"/>
  </w:font>
  <w:font w:name="MS Mincho">
    <w:panose1 w:val="02020609040205080304"/>
    <w:charset w:val="80"/>
    <w:family w:val="auto"/>
    <w:pitch w:val="default"/>
    <w:sig w:usb0="A00002BF" w:usb1="68C7FCFB" w:usb2="00000010" w:usb3="00000000" w:csb0="4002009F" w:csb1="DFD7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92B84"/>
    <w:multiLevelType w:val="multilevel"/>
    <w:tmpl w:val="CF092B84"/>
    <w:lvl w:ilvl="0" w:tentative="0">
      <w:start w:val="1"/>
      <w:numFmt w:val="chineseCounting"/>
      <w:suff w:val="nothing"/>
      <w:lvlText w:val="（%1）"/>
      <w:lvlJc w:val="left"/>
      <w:rPr>
        <w:rFonts w:hint="eastAsia"/>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1">
    <w:nsid w:val="0053208E"/>
    <w:multiLevelType w:val="multilevel"/>
    <w:tmpl w:val="0053208E"/>
    <w:lvl w:ilvl="0" w:tentative="0">
      <w:start w:val="2"/>
      <w:numFmt w:val="decimal"/>
      <w:lvlText w:val="%1."/>
      <w:lvlJc w:val="left"/>
      <w:pPr>
        <w:tabs>
          <w:tab w:val="left" w:pos="312"/>
        </w:tabs>
      </w:p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2">
    <w:nsid w:val="03D62ECE"/>
    <w:multiLevelType w:val="multilevel"/>
    <w:tmpl w:val="03D62ECE"/>
    <w:lvl w:ilvl="0" w:tentative="0">
      <w:start w:val="3"/>
      <w:numFmt w:val="chineseCounting"/>
      <w:suff w:val="nothing"/>
      <w:lvlText w:val="%1、"/>
      <w:lvlJc w:val="left"/>
      <w:rPr>
        <w:rFonts w:hint="eastAsia"/>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3">
    <w:nsid w:val="25B654F3"/>
    <w:multiLevelType w:val="multilevel"/>
    <w:tmpl w:val="25B654F3"/>
    <w:lvl w:ilvl="0" w:tentative="0">
      <w:start w:val="2"/>
      <w:numFmt w:val="decimal"/>
      <w:lvlText w:val="%1."/>
      <w:lvlJc w:val="left"/>
      <w:pPr>
        <w:tabs>
          <w:tab w:val="left" w:pos="312"/>
        </w:tabs>
      </w:p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4A1919"/>
    <w:rsid w:val="5DD22584"/>
    <w:rsid w:val="6C4A19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hint="default" w:asciiTheme="minorHAnsi" w:hAnsiTheme="minorHAnsi" w:eastAsiaTheme="minorEastAsia" w:cstheme="minorBidi"/>
      <w:sz w:val="21"/>
      <w:szCs w:val="22"/>
      <w:lang w:val="en-US" w:eastAsia="zh-CN" w:bidi="ar-SA"/>
    </w:rPr>
  </w:style>
  <w:style w:type="paragraph" w:styleId="4">
    <w:name w:val="heading 1"/>
    <w:basedOn w:val="1"/>
    <w:next w:val="1"/>
    <w:qFormat/>
    <w:uiPriority w:val="9"/>
    <w:pPr>
      <w:keepNext/>
      <w:keepLines/>
      <w:spacing w:before="340" w:after="330" w:line="578" w:lineRule="auto"/>
      <w:outlineLvl w:val="0"/>
    </w:pPr>
    <w:rPr>
      <w:b/>
      <w:bCs/>
      <w:sz w:val="44"/>
      <w:szCs w:val="44"/>
    </w:rPr>
  </w:style>
  <w:style w:type="paragraph" w:styleId="5">
    <w:name w:val="heading 2"/>
    <w:basedOn w:val="1"/>
    <w:next w:val="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正文文本1"/>
    <w:basedOn w:val="1"/>
    <w:next w:val="3"/>
    <w:qFormat/>
    <w:uiPriority w:val="0"/>
    <w:rPr>
      <w:rFonts w:ascii="楷体_GB2312" w:hAnsi="Arial" w:eastAsia="楷体_GB2312"/>
      <w:sz w:val="28"/>
      <w:szCs w:val="28"/>
    </w:rPr>
  </w:style>
  <w:style w:type="paragraph" w:customStyle="1" w:styleId="3">
    <w:name w:val="正文缩进1"/>
    <w:basedOn w:val="1"/>
    <w:next w:val="1"/>
    <w:qFormat/>
    <w:uiPriority w:val="0"/>
    <w:pPr>
      <w:ind w:firstLine="420"/>
    </w:pPr>
    <w:rPr>
      <w:szCs w:val="20"/>
    </w:rPr>
  </w:style>
  <w:style w:type="paragraph" w:styleId="6">
    <w:name w:val="annotation text"/>
    <w:basedOn w:val="1"/>
    <w:qFormat/>
    <w:uiPriority w:val="0"/>
    <w:pPr>
      <w:spacing w:line="360" w:lineRule="auto"/>
      <w:ind w:firstLine="922"/>
      <w:jc w:val="left"/>
    </w:pPr>
    <w:rPr>
      <w:rFonts w:ascii="Times New Roman" w:hAnsi="Times New Roman" w:eastAsia="宋体" w:cs="Times New Roman"/>
      <w:szCs w:val="24"/>
    </w:rPr>
  </w:style>
  <w:style w:type="paragraph" w:styleId="7">
    <w:name w:val="Body Text"/>
    <w:basedOn w:val="1"/>
    <w:qFormat/>
    <w:uiPriority w:val="0"/>
    <w:pPr>
      <w:ind w:firstLine="2560"/>
    </w:pPr>
  </w:style>
  <w:style w:type="paragraph" w:customStyle="1" w:styleId="10">
    <w:name w:val="Default"/>
    <w:qFormat/>
    <w:uiPriority w:val="99"/>
    <w:pPr>
      <w:widowControl w:val="0"/>
    </w:pPr>
    <w:rPr>
      <w:rFonts w:hint="default" w:ascii="MS Mincho" w:hAnsi="Calibri" w:eastAsia="宋体" w:cs="Times New Roman"/>
      <w:color w:val="000000"/>
      <w:sz w:val="21"/>
      <w:szCs w:val="24"/>
      <w:lang w:val="en-US" w:eastAsia="zh-CN" w:bidi="ar-SA"/>
    </w:rPr>
  </w:style>
  <w:style w:type="paragraph" w:customStyle="1" w:styleId="11">
    <w:name w:val="Table Text"/>
    <w:basedOn w:val="1"/>
    <w:semiHidden/>
    <w:qFormat/>
    <w:uiPriority w:val="0"/>
    <w:rPr>
      <w:rFonts w:ascii="宋体" w:hAnsi="宋体" w:eastAsia="宋体" w:cs="宋体"/>
      <w:sz w:val="15"/>
      <w:szCs w:val="15"/>
      <w:lang w:val="en-US" w:eastAsia="en-US" w:bidi="ar-SA"/>
    </w:rPr>
  </w:style>
  <w:style w:type="table" w:customStyle="1" w:styleId="12">
    <w:name w:val="Table Normal"/>
    <w:semiHidden/>
    <w:unhideWhenUsed/>
    <w:qFormat/>
    <w:uiPriority w:val="0"/>
    <w:tblPr>
      <w:tblCellMar>
        <w:top w:w="0" w:type="dxa"/>
        <w:left w:w="0" w:type="dxa"/>
        <w:bottom w:w="0" w:type="dxa"/>
        <w:right w:w="0" w:type="dxa"/>
      </w:tblCellMar>
    </w:tblPr>
  </w:style>
  <w:style w:type="paragraph" w:customStyle="1" w:styleId="13">
    <w:name w:val="正文1"/>
    <w:qFormat/>
    <w:uiPriority w:val="0"/>
    <w:pPr>
      <w:spacing w:after="200" w:line="276" w:lineRule="auto"/>
    </w:pPr>
    <w:rPr>
      <w:rFonts w:hint="default" w:ascii="Calibri" w:hAnsi="Calibri" w:eastAsia="宋体" w:cs="Times New Roman"/>
      <w:sz w:val="22"/>
      <w:szCs w:val="22"/>
      <w:lang w:val="en-US" w:eastAsia="en-US"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2025-12-02T08:05:00Z</dcterms:created>
  <dc:creator>Carry</dc:creator>
  <cp:lastModifiedBy>Carry</cp:lastModifiedBy>
  <dcterms:modified xsi:type="dcterms:W3CDTF">2025-12-02T08:05:20Z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B8915F0A39A54CDF8AFCCE81286FBEF6_11</vt:lpwstr>
  </property>
  <property fmtid="{D5CDD505-2E9C-101B-9397-08002B2CF9AE}" pid="4" name="KSOTemplateDocerSaveRecord">
    <vt:lpwstr>eyJoZGlkIjoiNjM3ZjkwMzQ4MmMwODEzYTQwYzgxMDJiNmU5ZGE3YmUiLCJ1c2VySWQiOiIyNzY5NTY4MDAifQ==</vt:lpwstr>
  </property>
</Properties>
</file>